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56588D">
      <w:pPr>
        <w:snapToGrid w:val="0"/>
        <w:spacing w:before="120" w:beforeLines="50" w:after="120" w:afterLines="50" w:line="480" w:lineRule="auto"/>
        <w:jc w:val="center"/>
        <w:rPr>
          <w:rFonts w:ascii="Times New Roman" w:hAnsi="Times New Roman" w:eastAsia="宋体" w:cs="Times New Roman"/>
          <w:b/>
          <w:bCs/>
          <w:sz w:val="30"/>
          <w:szCs w:val="30"/>
        </w:rPr>
      </w:pPr>
      <w:r>
        <w:rPr>
          <w:rFonts w:ascii="Times New Roman" w:hAnsi="Times New Roman" w:eastAsia="宋体" w:cs="Times New Roman"/>
          <w:b/>
          <w:bCs/>
          <w:sz w:val="30"/>
          <w:szCs w:val="30"/>
        </w:rPr>
        <w:t xml:space="preserve">Enhancing Agricultural Economic Resilience through New-Type Urbanization: Empirical Evidence from China </w:t>
      </w:r>
    </w:p>
    <w:p w14:paraId="3CF0C806">
      <w:pPr>
        <w:spacing w:line="360" w:lineRule="auto"/>
        <w:jc w:val="center"/>
        <w:rPr>
          <w:rFonts w:hint="default" w:ascii="Times New Roman" w:hAnsi="Times New Roman" w:eastAsiaTheme="minorEastAsia"/>
          <w:lang w:val="en-US" w:eastAsia="zh-CN"/>
        </w:rPr>
      </w:pPr>
      <w:r>
        <w:rPr>
          <w:rFonts w:hint="eastAsia" w:ascii="Times New Roman" w:hAnsi="Times New Roman"/>
        </w:rPr>
        <w:t>Zhiyong Chen</w:t>
      </w:r>
      <w:r>
        <w:rPr>
          <w:rFonts w:ascii="Times New Roman" w:hAnsi="Times New Roman"/>
        </w:rPr>
        <w:t xml:space="preserve"> </w:t>
      </w:r>
      <w:r>
        <w:rPr>
          <w:rFonts w:hint="eastAsia" w:ascii="Times New Roman" w:hAnsi="Times New Roman"/>
          <w:vertAlign w:val="superscript"/>
        </w:rPr>
        <w:t>a</w:t>
      </w:r>
      <w:r>
        <w:rPr>
          <w:rFonts w:hint="eastAsia" w:ascii="Times New Roman" w:hAnsi="Times New Roman"/>
          <w:vertAlign w:val="superscript"/>
          <w:lang w:val="en-US" w:eastAsia="zh-CN"/>
        </w:rPr>
        <w:t>,b</w:t>
      </w:r>
      <w:r>
        <w:rPr>
          <w:rFonts w:ascii="Times New Roman" w:hAnsi="Times New Roman"/>
        </w:rPr>
        <w:t>,</w:t>
      </w:r>
      <w:r>
        <w:rPr>
          <w:rFonts w:hint="eastAsia" w:ascii="Times New Roman" w:hAnsi="Times New Roman"/>
        </w:rPr>
        <w:t xml:space="preserve"> Shiqi Yi </w:t>
      </w:r>
      <w:r>
        <w:rPr>
          <w:rFonts w:hint="eastAsia" w:ascii="Times New Roman" w:hAnsi="Times New Roman"/>
          <w:vertAlign w:val="superscript"/>
        </w:rPr>
        <w:t>a</w:t>
      </w:r>
      <w:r>
        <w:rPr>
          <w:rFonts w:hint="eastAsia" w:ascii="Times New Roman" w:hAnsi="Times New Roman"/>
        </w:rPr>
        <w:t xml:space="preserve">, </w:t>
      </w:r>
      <w:r>
        <w:rPr>
          <w:rFonts w:hint="eastAsia" w:ascii="Times New Roman" w:hAnsi="Times New Roman"/>
          <w:lang w:val="en-US" w:eastAsia="zh-CN"/>
        </w:rPr>
        <w:t>Rongshang Chen</w:t>
      </w:r>
      <w:r>
        <w:rPr>
          <w:rFonts w:hint="eastAsia" w:ascii="Times New Roman" w:hAnsi="Times New Roman"/>
          <w:vertAlign w:val="superscript"/>
        </w:rPr>
        <w:t xml:space="preserve"> </w:t>
      </w:r>
      <w:r>
        <w:rPr>
          <w:rFonts w:hint="eastAsia" w:ascii="Times New Roman" w:hAnsi="Times New Roman"/>
          <w:vertAlign w:val="superscript"/>
          <w:lang w:val="en-US" w:eastAsia="zh-CN"/>
        </w:rPr>
        <w:t>c,d</w:t>
      </w:r>
      <w:r>
        <w:rPr>
          <w:rFonts w:hint="eastAsia" w:ascii="Times New Roman" w:hAnsi="Times New Roman"/>
          <w:vertAlign w:val="superscript"/>
        </w:rPr>
        <w:t>,</w:t>
      </w:r>
      <w:r>
        <w:rPr>
          <w:rFonts w:hint="eastAsia" w:ascii="Times New Roman" w:hAnsi="Times New Roman"/>
        </w:rPr>
        <w:t>*</w:t>
      </w:r>
    </w:p>
    <w:p w14:paraId="2B25C12E">
      <w:pPr>
        <w:spacing w:line="360" w:lineRule="auto"/>
        <w:rPr>
          <w:rFonts w:ascii="Times New Roman" w:hAnsi="Times New Roman" w:eastAsia="Times New Roman"/>
          <w:color w:val="000000"/>
          <w:sz w:val="22"/>
        </w:rPr>
      </w:pPr>
      <w:r>
        <w:rPr>
          <w:rFonts w:hint="eastAsia" w:ascii="Times New Roman" w:hAnsi="Times New Roman"/>
          <w:color w:val="000000"/>
          <w:sz w:val="22"/>
          <w:vertAlign w:val="superscript"/>
        </w:rPr>
        <w:t>a</w:t>
      </w:r>
      <w:r>
        <w:rPr>
          <w:rFonts w:ascii="Times New Roman" w:hAnsi="Times New Roman" w:eastAsia="Times New Roman"/>
          <w:color w:val="000000"/>
          <w:sz w:val="22"/>
        </w:rPr>
        <w:t xml:space="preserve"> School of Mathematics and Statistics, Fujian Normal University, Fuzhou 350117, </w:t>
      </w:r>
      <w:r>
        <w:rPr>
          <w:rFonts w:hint="eastAsia" w:ascii="Times New Roman" w:hAnsi="Times New Roman" w:eastAsia="Times New Roman"/>
          <w:color w:val="000000"/>
          <w:sz w:val="22"/>
        </w:rPr>
        <w:t xml:space="preserve">PR </w:t>
      </w:r>
      <w:r>
        <w:rPr>
          <w:rFonts w:ascii="Times New Roman" w:hAnsi="Times New Roman" w:eastAsia="Times New Roman"/>
          <w:color w:val="000000"/>
          <w:sz w:val="22"/>
        </w:rPr>
        <w:t>China</w:t>
      </w:r>
    </w:p>
    <w:p w14:paraId="23B83521">
      <w:pPr>
        <w:spacing w:line="360" w:lineRule="auto"/>
        <w:rPr>
          <w:rFonts w:ascii="Times New Roman" w:hAnsi="Times New Roman" w:eastAsia="Times New Roman"/>
          <w:color w:val="000000"/>
          <w:sz w:val="22"/>
        </w:rPr>
      </w:pPr>
      <w:r>
        <w:rPr>
          <w:rFonts w:hint="eastAsia" w:ascii="Times New Roman" w:hAnsi="Times New Roman"/>
          <w:color w:val="000000"/>
          <w:sz w:val="22"/>
          <w:vertAlign w:val="superscript"/>
          <w:lang w:val="en-US" w:eastAsia="zh-CN"/>
        </w:rPr>
        <w:t>b</w:t>
      </w:r>
      <w:r>
        <w:rPr>
          <w:rFonts w:ascii="Times New Roman" w:hAnsi="Times New Roman" w:eastAsia="Times New Roman"/>
          <w:color w:val="000000"/>
          <w:sz w:val="22"/>
          <w:lang w:val="en-US" w:eastAsia="zh-CN"/>
        </w:rPr>
        <w:t>Fujian Provincial Key Laboratory of Statistics and Artificial Intelligence, Fuzhou 350117, China</w:t>
      </w:r>
    </w:p>
    <w:p w14:paraId="796EA9FD">
      <w:pPr>
        <w:spacing w:line="360" w:lineRule="auto"/>
        <w:rPr>
          <w:rFonts w:ascii="Times New Roman" w:hAnsi="Times New Roman" w:eastAsia="Times New Roman"/>
          <w:color w:val="000000"/>
          <w:sz w:val="22"/>
          <w:lang w:val="en-US" w:eastAsia="zh-CN"/>
        </w:rPr>
      </w:pPr>
      <w:r>
        <w:rPr>
          <w:rFonts w:hint="eastAsia" w:ascii="Times New Roman" w:hAnsi="Times New Roman"/>
          <w:color w:val="000000"/>
          <w:sz w:val="22"/>
          <w:vertAlign w:val="superscript"/>
          <w:lang w:val="en-US" w:eastAsia="zh-CN"/>
        </w:rPr>
        <w:t>c</w:t>
      </w:r>
      <w:r>
        <w:rPr>
          <w:rFonts w:ascii="Times New Roman" w:hAnsi="Times New Roman" w:eastAsia="Times New Roman"/>
          <w:color w:val="000000"/>
          <w:sz w:val="22"/>
          <w:lang w:val="en-US" w:eastAsia="zh-CN"/>
        </w:rPr>
        <w:t>School of Computer and Information Engineering, Xiamen University of Technology, Xiamen 361024, China;</w:t>
      </w:r>
    </w:p>
    <w:p w14:paraId="64DF75AD">
      <w:pPr>
        <w:spacing w:line="360" w:lineRule="auto"/>
        <w:rPr>
          <w:rFonts w:ascii="Times New Roman" w:hAnsi="Times New Roman" w:eastAsia="Times New Roman"/>
          <w:color w:val="000000"/>
          <w:sz w:val="22"/>
          <w:lang w:val="en-US" w:eastAsia="zh-CN"/>
        </w:rPr>
      </w:pPr>
      <w:r>
        <w:rPr>
          <w:rFonts w:hint="eastAsia" w:ascii="Times New Roman" w:hAnsi="Times New Roman"/>
          <w:color w:val="000000"/>
          <w:sz w:val="22"/>
          <w:vertAlign w:val="superscript"/>
          <w:lang w:val="en-US" w:eastAsia="zh-CN"/>
        </w:rPr>
        <w:t>d</w:t>
      </w:r>
      <w:r>
        <w:rPr>
          <w:rFonts w:ascii="Times New Roman" w:hAnsi="Times New Roman" w:eastAsia="Times New Roman"/>
          <w:color w:val="000000"/>
          <w:sz w:val="22"/>
          <w:lang w:val="en-US" w:eastAsia="zh-CN"/>
        </w:rPr>
        <w:t>Xiamen Software Supply Chain Security Public Technology Service Platform, Xiamen 361024, China</w:t>
      </w:r>
    </w:p>
    <w:p w14:paraId="7C365D60">
      <w:pPr>
        <w:spacing w:line="360" w:lineRule="auto"/>
        <w:rPr>
          <w:rFonts w:hint="eastAsia"/>
          <w:color w:val="0563C1"/>
          <w:sz w:val="22"/>
        </w:rPr>
      </w:pPr>
      <w:r>
        <w:rPr>
          <w:rFonts w:ascii="Times New Roman" w:hAnsi="Times New Roman" w:eastAsia="Times New Roman"/>
          <w:color w:val="000000"/>
          <w:sz w:val="22"/>
        </w:rPr>
        <w:t xml:space="preserve"> Email:</w:t>
      </w:r>
      <w:r>
        <w:rPr>
          <w:rFonts w:ascii="Times New Roman" w:hAnsi="Times New Roman" w:eastAsia="Times New Roman" w:cs="Times New Roman"/>
          <w:color w:val="000000"/>
          <w:sz w:val="22"/>
        </w:rPr>
        <w:t xml:space="preserve"> </w:t>
      </w:r>
      <w:r>
        <w:fldChar w:fldCharType="begin"/>
      </w:r>
      <w:r>
        <w:instrText xml:space="preserve"> HYPERLINK "file:///F:\\3.毕业论文\\7.新型城镇化&amp;农业经济韧性【2】\\10.翻译【英文】\\0A.投稿材料\\新建文件夹\\shiqiy83@gmail.com" </w:instrText>
      </w:r>
      <w:r>
        <w:fldChar w:fldCharType="separate"/>
      </w:r>
      <w:r>
        <w:rPr>
          <w:rStyle w:val="23"/>
          <w:rFonts w:hint="eastAsia" w:cs="Times New Roman"/>
          <w:lang w:val="en-US" w:eastAsia="zh-CN"/>
        </w:rPr>
        <w:t>rschen</w:t>
      </w:r>
      <w:r>
        <w:rPr>
          <w:rStyle w:val="23"/>
          <w:rFonts w:cs="Times New Roman"/>
        </w:rPr>
        <w:t>@</w:t>
      </w:r>
      <w:r>
        <w:rPr>
          <w:rStyle w:val="23"/>
          <w:rFonts w:hint="eastAsia" w:cs="Times New Roman"/>
          <w:lang w:val="en-US" w:eastAsia="zh-CN"/>
        </w:rPr>
        <w:t>xmut</w:t>
      </w:r>
      <w:r>
        <w:rPr>
          <w:rStyle w:val="23"/>
          <w:rFonts w:cs="Times New Roman"/>
        </w:rPr>
        <w:t>.</w:t>
      </w:r>
      <w:r>
        <w:rPr>
          <w:rStyle w:val="23"/>
          <w:rFonts w:hint="eastAsia" w:cs="Times New Roman"/>
          <w:lang w:val="en-US" w:eastAsia="zh-CN"/>
        </w:rPr>
        <w:t>edu.cn</w:t>
      </w:r>
      <w:r>
        <w:rPr>
          <w:rStyle w:val="23"/>
          <w:rFonts w:cs="Times New Roman"/>
        </w:rPr>
        <w:fldChar w:fldCharType="end"/>
      </w:r>
      <w:r>
        <w:rPr>
          <w:rFonts w:hint="eastAsia" w:ascii="Times New Roman" w:hAnsi="Times New Roman"/>
          <w:sz w:val="22"/>
        </w:rPr>
        <w:t>.</w:t>
      </w:r>
    </w:p>
    <w:p w14:paraId="558A1571">
      <w:pPr>
        <w:spacing w:line="480" w:lineRule="auto"/>
        <w:rPr>
          <w:rFonts w:hint="eastAsia" w:ascii="Times New Roman" w:hAnsi="Times New Roman"/>
          <w:lang w:val="en-US" w:eastAsia="zh-CN"/>
        </w:rPr>
      </w:pPr>
      <w:r>
        <w:rPr>
          <w:rFonts w:ascii="Times New Roman" w:hAnsi="Times New Roman"/>
          <w:color w:val="000000"/>
          <w:sz w:val="22"/>
        </w:rPr>
        <w:t xml:space="preserve">*Corresponding author: </w:t>
      </w:r>
      <w:r>
        <w:rPr>
          <w:rFonts w:hint="eastAsia" w:ascii="Times New Roman" w:hAnsi="Times New Roman"/>
          <w:lang w:val="en-US" w:eastAsia="zh-CN"/>
        </w:rPr>
        <w:t>Rongshang Chen</w:t>
      </w:r>
    </w:p>
    <w:p w14:paraId="5F95BB42">
      <w:pPr>
        <w:spacing w:line="480" w:lineRule="auto"/>
        <w:rPr>
          <w:rFonts w:hint="eastAsia" w:ascii="Times New Roman" w:hAnsi="Times New Roman"/>
          <w:lang w:val="en-US" w:eastAsia="zh-CN"/>
        </w:rPr>
      </w:pPr>
    </w:p>
    <w:p w14:paraId="60E3F311">
      <w:pPr>
        <w:spacing w:line="480" w:lineRule="auto"/>
        <w:rPr>
          <w:rFonts w:hint="eastAsia" w:ascii="Times New Roman" w:hAnsi="Times New Roman"/>
          <w:lang w:val="en-US" w:eastAsia="zh-CN"/>
        </w:rPr>
      </w:pPr>
    </w:p>
    <w:p w14:paraId="431B6E5D">
      <w:pPr>
        <w:spacing w:line="480" w:lineRule="auto"/>
        <w:rPr>
          <w:rFonts w:hint="eastAsia" w:ascii="Times New Roman" w:hAnsi="Times New Roman"/>
          <w:lang w:val="en-US" w:eastAsia="zh-CN"/>
        </w:rPr>
      </w:pPr>
    </w:p>
    <w:p w14:paraId="678E63D3">
      <w:pPr>
        <w:spacing w:line="480" w:lineRule="auto"/>
        <w:rPr>
          <w:rFonts w:hint="eastAsia" w:ascii="Times New Roman" w:hAnsi="Times New Roman"/>
          <w:lang w:val="en-US" w:eastAsia="zh-CN"/>
        </w:rPr>
      </w:pPr>
    </w:p>
    <w:p w14:paraId="26618FC2">
      <w:pPr>
        <w:spacing w:line="480" w:lineRule="auto"/>
        <w:rPr>
          <w:rFonts w:hint="eastAsia" w:ascii="Times New Roman" w:hAnsi="Times New Roman"/>
          <w:lang w:val="en-US" w:eastAsia="zh-CN"/>
        </w:rPr>
      </w:pPr>
    </w:p>
    <w:p w14:paraId="04E34E4B">
      <w:pPr>
        <w:spacing w:line="480" w:lineRule="auto"/>
        <w:rPr>
          <w:rFonts w:hint="eastAsia" w:ascii="Times New Roman" w:hAnsi="Times New Roman"/>
          <w:lang w:val="en-US" w:eastAsia="zh-CN"/>
        </w:rPr>
      </w:pPr>
    </w:p>
    <w:p w14:paraId="5CE70206">
      <w:pPr>
        <w:spacing w:line="480" w:lineRule="auto"/>
        <w:rPr>
          <w:rFonts w:hint="eastAsia" w:ascii="Times New Roman" w:hAnsi="Times New Roman"/>
          <w:lang w:val="en-US" w:eastAsia="zh-CN"/>
        </w:rPr>
      </w:pPr>
    </w:p>
    <w:p w14:paraId="68F98FCF">
      <w:pPr>
        <w:spacing w:line="480" w:lineRule="auto"/>
        <w:rPr>
          <w:rFonts w:hint="eastAsia" w:ascii="Times New Roman" w:hAnsi="Times New Roman"/>
          <w:lang w:val="en-US" w:eastAsia="zh-CN"/>
        </w:rPr>
      </w:pPr>
    </w:p>
    <w:p w14:paraId="0A6A41BE">
      <w:pPr>
        <w:spacing w:line="480" w:lineRule="auto"/>
        <w:rPr>
          <w:rFonts w:hint="eastAsia" w:ascii="Times New Roman" w:hAnsi="Times New Roman"/>
          <w:lang w:val="en-US" w:eastAsia="zh-CN"/>
        </w:rPr>
      </w:pPr>
    </w:p>
    <w:p w14:paraId="51B87B86">
      <w:pPr>
        <w:spacing w:line="480" w:lineRule="auto"/>
        <w:rPr>
          <w:rFonts w:hint="eastAsia" w:ascii="Times New Roman" w:hAnsi="Times New Roman"/>
          <w:lang w:val="en-US" w:eastAsia="zh-CN"/>
        </w:rPr>
      </w:pPr>
    </w:p>
    <w:p w14:paraId="3E97AE69">
      <w:pPr>
        <w:spacing w:line="480" w:lineRule="auto"/>
        <w:rPr>
          <w:rFonts w:hint="eastAsia" w:ascii="Times New Roman" w:hAnsi="Times New Roman"/>
          <w:lang w:val="en-US" w:eastAsia="zh-CN"/>
        </w:rPr>
      </w:pPr>
    </w:p>
    <w:p w14:paraId="6C3888A4">
      <w:pPr>
        <w:spacing w:line="480" w:lineRule="auto"/>
        <w:rPr>
          <w:rFonts w:hint="eastAsia" w:ascii="Times New Roman" w:hAnsi="Times New Roman"/>
          <w:lang w:val="en-US" w:eastAsia="zh-CN"/>
        </w:rPr>
      </w:pPr>
    </w:p>
    <w:p w14:paraId="1B334FE5">
      <w:pPr>
        <w:spacing w:line="480" w:lineRule="auto"/>
        <w:rPr>
          <w:rFonts w:hint="eastAsia" w:ascii="Times New Roman" w:hAnsi="Times New Roman"/>
          <w:lang w:val="en-US" w:eastAsia="zh-CN"/>
        </w:rPr>
      </w:pPr>
    </w:p>
    <w:p w14:paraId="4CEB6FCB">
      <w:pPr>
        <w:spacing w:line="480" w:lineRule="auto"/>
        <w:rPr>
          <w:rFonts w:hint="eastAsia" w:ascii="Times New Roman" w:hAnsi="Times New Roman"/>
          <w:lang w:val="en-US" w:eastAsia="zh-CN"/>
        </w:rPr>
      </w:pPr>
    </w:p>
    <w:p w14:paraId="0B25EB82">
      <w:pPr>
        <w:spacing w:line="480" w:lineRule="auto"/>
        <w:rPr>
          <w:rFonts w:hint="eastAsia" w:ascii="Times New Roman" w:hAnsi="Times New Roman"/>
          <w:lang w:val="en-US" w:eastAsia="zh-CN"/>
        </w:rPr>
      </w:pPr>
    </w:p>
    <w:p w14:paraId="7839C3C5">
      <w:pPr>
        <w:spacing w:line="480" w:lineRule="auto"/>
        <w:rPr>
          <w:rFonts w:hint="eastAsia" w:ascii="Times New Roman" w:hAnsi="Times New Roman"/>
          <w:lang w:val="en-US" w:eastAsia="zh-CN"/>
        </w:rPr>
      </w:pPr>
    </w:p>
    <w:p w14:paraId="0ACAA285">
      <w:pPr>
        <w:spacing w:line="480" w:lineRule="auto"/>
        <w:rPr>
          <w:rFonts w:hint="eastAsia" w:ascii="Times New Roman" w:hAnsi="Times New Roman"/>
          <w:lang w:val="en-US" w:eastAsia="zh-CN"/>
        </w:rPr>
      </w:pPr>
    </w:p>
    <w:p w14:paraId="116EEB38">
      <w:pPr>
        <w:spacing w:line="480" w:lineRule="auto"/>
        <w:rPr>
          <w:rFonts w:ascii="Times New Roman" w:hAnsi="Times New Roman" w:cs="Times New Roman"/>
          <w:szCs w:val="24"/>
        </w:rPr>
      </w:pPr>
      <w:r>
        <w:rPr>
          <w:rFonts w:ascii="Times New Roman" w:hAnsi="Times New Roman" w:eastAsia="宋体"/>
          <w:b/>
          <w:bCs/>
          <w:sz w:val="24"/>
          <w:szCs w:val="24"/>
        </w:rPr>
        <w:t>Abstract</w:t>
      </w:r>
      <w:r>
        <w:rPr>
          <w:rFonts w:ascii="Times New Roman" w:hAnsi="Times New Roman" w:eastAsia="宋体"/>
          <w:sz w:val="24"/>
          <w:szCs w:val="24"/>
        </w:rPr>
        <w:br w:type="textWrapping"/>
      </w:r>
      <w:r>
        <w:rPr>
          <w:rFonts w:ascii="Times New Roman" w:hAnsi="Times New Roman" w:cs="Times New Roman"/>
          <w:szCs w:val="24"/>
        </w:rPr>
        <w:t xml:space="preserve">New-type urbanization </w:t>
      </w:r>
      <w:r>
        <w:rPr>
          <w:rFonts w:hint="eastAsia" w:ascii="Times New Roman" w:hAnsi="Times New Roman" w:cs="Times New Roman"/>
          <w:szCs w:val="24"/>
        </w:rPr>
        <w:t>serve</w:t>
      </w:r>
      <w:r>
        <w:rPr>
          <w:rFonts w:ascii="Times New Roman" w:hAnsi="Times New Roman" w:cs="Times New Roman"/>
          <w:szCs w:val="24"/>
        </w:rPr>
        <w:t xml:space="preserve">s not only </w:t>
      </w:r>
      <w:r>
        <w:rPr>
          <w:rFonts w:hint="eastAsia" w:ascii="Times New Roman" w:hAnsi="Times New Roman" w:cs="Times New Roman"/>
          <w:szCs w:val="24"/>
        </w:rPr>
        <w:t xml:space="preserve">as </w:t>
      </w:r>
      <w:r>
        <w:rPr>
          <w:rFonts w:ascii="Times New Roman" w:hAnsi="Times New Roman" w:cs="Times New Roman"/>
          <w:szCs w:val="24"/>
        </w:rPr>
        <w:t xml:space="preserve">a fundamental pathway </w:t>
      </w:r>
      <w:r>
        <w:rPr>
          <w:rFonts w:hint="eastAsia" w:ascii="Times New Roman" w:hAnsi="Times New Roman" w:cs="Times New Roman"/>
          <w:szCs w:val="24"/>
        </w:rPr>
        <w:t xml:space="preserve">to </w:t>
      </w:r>
      <w:r>
        <w:rPr>
          <w:rFonts w:ascii="Times New Roman" w:hAnsi="Times New Roman" w:cs="Times New Roman"/>
          <w:szCs w:val="24"/>
        </w:rPr>
        <w:t>addressing the “three rural” issues</w:t>
      </w:r>
      <w:r>
        <w:rPr>
          <w:rFonts w:hint="eastAsia" w:ascii="Times New Roman" w:hAnsi="Times New Roman" w:cs="Times New Roman"/>
          <w:szCs w:val="24"/>
        </w:rPr>
        <w:t>-</w:t>
      </w:r>
      <w:r>
        <w:rPr>
          <w:rFonts w:ascii="Times New Roman" w:hAnsi="Times New Roman" w:cs="Times New Roman"/>
          <w:szCs w:val="24"/>
        </w:rPr>
        <w:t>agriculture, rural areas, and farmers</w:t>
      </w:r>
      <w:r>
        <w:rPr>
          <w:rFonts w:hint="eastAsia" w:ascii="Times New Roman" w:hAnsi="Times New Roman" w:cs="Times New Roman"/>
          <w:szCs w:val="24"/>
        </w:rPr>
        <w:t>-</w:t>
      </w:r>
      <w:r>
        <w:rPr>
          <w:rFonts w:ascii="Times New Roman" w:hAnsi="Times New Roman" w:cs="Times New Roman"/>
          <w:szCs w:val="24"/>
        </w:rPr>
        <w:t xml:space="preserve">but also a </w:t>
      </w:r>
      <w:r>
        <w:rPr>
          <w:rFonts w:hint="eastAsia" w:ascii="Times New Roman" w:hAnsi="Times New Roman" w:cs="Times New Roman"/>
          <w:szCs w:val="24"/>
        </w:rPr>
        <w:t>crucial</w:t>
      </w:r>
      <w:r>
        <w:rPr>
          <w:rFonts w:ascii="Times New Roman" w:hAnsi="Times New Roman" w:cs="Times New Roman"/>
          <w:szCs w:val="24"/>
        </w:rPr>
        <w:t xml:space="preserve"> driver </w:t>
      </w:r>
      <w:r>
        <w:rPr>
          <w:rFonts w:hint="eastAsia" w:ascii="Times New Roman" w:hAnsi="Times New Roman" w:cs="Times New Roman"/>
          <w:szCs w:val="24"/>
        </w:rPr>
        <w:t xml:space="preserve">for </w:t>
      </w:r>
      <w:r>
        <w:rPr>
          <w:rFonts w:ascii="Times New Roman" w:hAnsi="Times New Roman" w:cs="Times New Roman"/>
          <w:szCs w:val="24"/>
        </w:rPr>
        <w:t>enhancing the resilience of the agricultural econom</w:t>
      </w:r>
      <w:r>
        <w:rPr>
          <w:rFonts w:hint="eastAsia" w:ascii="Times New Roman" w:hAnsi="Times New Roman" w:cs="Times New Roman"/>
          <w:szCs w:val="24"/>
          <w:lang w:val="en-US" w:eastAsia="zh-CN"/>
        </w:rPr>
        <w:t>ies</w:t>
      </w:r>
      <w:r>
        <w:rPr>
          <w:rFonts w:ascii="Times New Roman" w:hAnsi="Times New Roman" w:cs="Times New Roman"/>
          <w:szCs w:val="24"/>
        </w:rPr>
        <w:t>. Utilizing panel data from 3</w:t>
      </w:r>
      <w:r>
        <w:rPr>
          <w:rFonts w:hint="eastAsia" w:ascii="Times New Roman" w:hAnsi="Times New Roman" w:cs="Times New Roman"/>
          <w:szCs w:val="24"/>
        </w:rPr>
        <w:t xml:space="preserve">0 </w:t>
      </w:r>
      <w:r>
        <w:rPr>
          <w:rFonts w:ascii="Times New Roman" w:hAnsi="Times New Roman" w:cs="Times New Roman"/>
          <w:szCs w:val="24"/>
        </w:rPr>
        <w:t xml:space="preserve">Chinese provinces </w:t>
      </w:r>
      <w:r>
        <w:rPr>
          <w:rFonts w:hint="eastAsia" w:ascii="Times New Roman" w:hAnsi="Times New Roman" w:cs="Times New Roman"/>
          <w:szCs w:val="24"/>
          <w:lang w:val="en-US" w:eastAsia="zh-CN"/>
        </w:rPr>
        <w:t>spanning</w:t>
      </w:r>
      <w:r>
        <w:rPr>
          <w:rFonts w:hint="eastAsia" w:ascii="Times New Roman" w:hAnsi="Times New Roman" w:cs="Times New Roman"/>
          <w:szCs w:val="24"/>
        </w:rPr>
        <w:t xml:space="preserve"> </w:t>
      </w:r>
      <w:r>
        <w:rPr>
          <w:rFonts w:ascii="Times New Roman" w:hAnsi="Times New Roman" w:cs="Times New Roman"/>
          <w:szCs w:val="24"/>
        </w:rPr>
        <w:t>2012</w:t>
      </w:r>
      <w:r>
        <w:rPr>
          <w:rFonts w:hint="eastAsia" w:ascii="Times New Roman" w:hAnsi="Times New Roman" w:cs="Times New Roman"/>
          <w:szCs w:val="24"/>
          <w:lang w:val="en-US" w:eastAsia="zh-CN"/>
        </w:rPr>
        <w:t xml:space="preserve"> to </w:t>
      </w:r>
      <w:r>
        <w:rPr>
          <w:rFonts w:ascii="Times New Roman" w:hAnsi="Times New Roman" w:cs="Times New Roman"/>
          <w:szCs w:val="24"/>
        </w:rPr>
        <w:t xml:space="preserve">2023, this study constructs a comprehensive multidimensional evaluation framework, </w:t>
      </w:r>
      <w:r>
        <w:rPr>
          <w:rFonts w:hint="eastAsia" w:ascii="Times New Roman" w:hAnsi="Times New Roman" w:cs="Times New Roman"/>
          <w:szCs w:val="24"/>
          <w:lang w:val="en-US" w:eastAsia="zh-CN"/>
        </w:rPr>
        <w:t>applies</w:t>
      </w:r>
      <w:r>
        <w:rPr>
          <w:rFonts w:ascii="Times New Roman" w:hAnsi="Times New Roman" w:cs="Times New Roman"/>
          <w:szCs w:val="24"/>
        </w:rPr>
        <w:t xml:space="preserve"> the entropy method to </w:t>
      </w:r>
      <w:r>
        <w:rPr>
          <w:rFonts w:hint="eastAsia" w:ascii="Times New Roman" w:hAnsi="Times New Roman" w:cs="Times New Roman"/>
          <w:szCs w:val="24"/>
        </w:rPr>
        <w:t>measure</w:t>
      </w:r>
      <w:r>
        <w:rPr>
          <w:rFonts w:ascii="Times New Roman" w:hAnsi="Times New Roman" w:cs="Times New Roman"/>
          <w:szCs w:val="24"/>
        </w:rPr>
        <w:t xml:space="preserve"> agricultural economic resilience</w:t>
      </w:r>
      <w:r>
        <w:rPr>
          <w:rFonts w:hint="eastAsia" w:ascii="Times New Roman" w:hAnsi="Times New Roman" w:cs="Times New Roman"/>
          <w:szCs w:val="24"/>
          <w:lang w:val="en-US" w:eastAsia="zh-CN"/>
        </w:rPr>
        <w:t>(AER)</w:t>
      </w:r>
      <w:r>
        <w:rPr>
          <w:rFonts w:ascii="Times New Roman" w:hAnsi="Times New Roman" w:cs="Times New Roman"/>
          <w:szCs w:val="24"/>
        </w:rPr>
        <w:t xml:space="preserve">, and </w:t>
      </w:r>
      <w:r>
        <w:rPr>
          <w:rFonts w:hint="eastAsia" w:ascii="Times New Roman" w:hAnsi="Times New Roman" w:cs="Times New Roman"/>
          <w:szCs w:val="24"/>
          <w:lang w:val="en-US" w:eastAsia="zh-CN"/>
        </w:rPr>
        <w:t>employ</w:t>
      </w:r>
      <w:r>
        <w:rPr>
          <w:rFonts w:ascii="Times New Roman" w:hAnsi="Times New Roman" w:cs="Times New Roman"/>
          <w:szCs w:val="24"/>
        </w:rPr>
        <w:t xml:space="preserve">s a two-way fixed effects model to empirically </w:t>
      </w:r>
      <w:r>
        <w:rPr>
          <w:rFonts w:hint="eastAsia" w:ascii="Times New Roman" w:hAnsi="Times New Roman" w:cs="Times New Roman"/>
          <w:szCs w:val="24"/>
        </w:rPr>
        <w:t>investigate</w:t>
      </w:r>
      <w:r>
        <w:rPr>
          <w:rFonts w:ascii="Times New Roman" w:hAnsi="Times New Roman" w:cs="Times New Roman"/>
          <w:szCs w:val="24"/>
        </w:rPr>
        <w:t xml:space="preserve"> the impact</w:t>
      </w:r>
      <w:r>
        <w:rPr>
          <w:rFonts w:hint="eastAsia" w:ascii="Times New Roman" w:hAnsi="Times New Roman" w:cs="Times New Roman"/>
          <w:szCs w:val="24"/>
        </w:rPr>
        <w:t xml:space="preserve"> </w:t>
      </w:r>
      <w:r>
        <w:rPr>
          <w:rFonts w:ascii="Times New Roman" w:hAnsi="Times New Roman" w:cs="Times New Roman"/>
          <w:szCs w:val="24"/>
        </w:rPr>
        <w:t>and underlying mechanism</w:t>
      </w:r>
      <w:r>
        <w:rPr>
          <w:rFonts w:hint="eastAsia" w:ascii="Times New Roman" w:hAnsi="Times New Roman" w:cs="Times New Roman"/>
          <w:szCs w:val="24"/>
        </w:rPr>
        <w:t>s</w:t>
      </w:r>
      <w:r>
        <w:rPr>
          <w:rFonts w:ascii="Times New Roman" w:hAnsi="Times New Roman" w:cs="Times New Roman"/>
          <w:szCs w:val="24"/>
        </w:rPr>
        <w:t xml:space="preserve"> of new-type urbanization</w:t>
      </w:r>
      <w:r>
        <w:rPr>
          <w:rFonts w:hint="eastAsia" w:ascii="Times New Roman" w:hAnsi="Times New Roman" w:cs="Times New Roman"/>
          <w:szCs w:val="24"/>
          <w:lang w:val="en-US" w:eastAsia="zh-CN"/>
        </w:rPr>
        <w:t>(NTU)</w:t>
      </w:r>
      <w:r>
        <w:rPr>
          <w:rFonts w:ascii="Times New Roman" w:hAnsi="Times New Roman" w:cs="Times New Roman"/>
          <w:szCs w:val="24"/>
        </w:rPr>
        <w:t>.</w:t>
      </w:r>
      <w:r>
        <w:rPr>
          <w:rFonts w:hint="eastAsia" w:ascii="Times New Roman" w:hAnsi="Times New Roman" w:cs="Times New Roman"/>
          <w:szCs w:val="24"/>
        </w:rPr>
        <w:t xml:space="preserve"> </w:t>
      </w:r>
      <w:r>
        <w:rPr>
          <w:rFonts w:ascii="Times New Roman" w:hAnsi="Times New Roman" w:cs="Times New Roman"/>
          <w:szCs w:val="24"/>
        </w:rPr>
        <w:t xml:space="preserve">The results </w:t>
      </w:r>
      <w:r>
        <w:rPr>
          <w:rFonts w:hint="default" w:ascii="Times New Roman" w:hAnsi="Times New Roman" w:cs="Times New Roman"/>
          <w:szCs w:val="24"/>
        </w:rPr>
        <w:t>demonstrate</w:t>
      </w:r>
      <w:r>
        <w:rPr>
          <w:rFonts w:ascii="Times New Roman" w:hAnsi="Times New Roman" w:cs="Times New Roman"/>
          <w:szCs w:val="24"/>
        </w:rPr>
        <w:t xml:space="preserve"> that </w:t>
      </w:r>
      <w:r>
        <w:rPr>
          <w:rFonts w:hint="eastAsia" w:ascii="Times New Roman" w:hAnsi="Times New Roman" w:cs="Times New Roman"/>
          <w:szCs w:val="24"/>
          <w:lang w:val="en-US" w:eastAsia="zh-CN"/>
        </w:rPr>
        <w:t>NTU</w:t>
      </w:r>
      <w:r>
        <w:rPr>
          <w:rFonts w:ascii="Times New Roman" w:hAnsi="Times New Roman" w:cs="Times New Roman"/>
          <w:szCs w:val="24"/>
        </w:rPr>
        <w:t xml:space="preserve"> significantly </w:t>
      </w:r>
      <w:r>
        <w:rPr>
          <w:rFonts w:hint="eastAsia" w:ascii="Times New Roman" w:hAnsi="Times New Roman" w:cs="Times New Roman"/>
          <w:szCs w:val="24"/>
          <w:lang w:val="en-US" w:eastAsia="zh-CN"/>
        </w:rPr>
        <w:t>enhance</w:t>
      </w:r>
      <w:r>
        <w:rPr>
          <w:rFonts w:hint="eastAsia" w:ascii="Times New Roman" w:hAnsi="Times New Roman" w:cs="Times New Roman"/>
          <w:szCs w:val="24"/>
        </w:rPr>
        <w:t xml:space="preserve">s </w:t>
      </w:r>
      <w:r>
        <w:rPr>
          <w:rFonts w:hint="eastAsia" w:ascii="Times New Roman" w:hAnsi="Times New Roman" w:cs="Times New Roman"/>
          <w:szCs w:val="24"/>
          <w:lang w:val="en-US" w:eastAsia="zh-CN"/>
        </w:rPr>
        <w:t>AER</w:t>
      </w:r>
      <w:r>
        <w:rPr>
          <w:rFonts w:ascii="Times New Roman" w:hAnsi="Times New Roman" w:cs="Times New Roman"/>
          <w:szCs w:val="24"/>
        </w:rPr>
        <w:t xml:space="preserve"> </w:t>
      </w:r>
      <w:r>
        <w:rPr>
          <w:rFonts w:hint="eastAsia" w:ascii="Times New Roman" w:hAnsi="Times New Roman" w:cs="Times New Roman"/>
          <w:szCs w:val="24"/>
          <w:lang w:val="en-US" w:eastAsia="zh-CN"/>
        </w:rPr>
        <w:t>through three key channels:</w:t>
      </w:r>
      <w:r>
        <w:rPr>
          <w:rFonts w:ascii="Times New Roman" w:hAnsi="Times New Roman" w:cs="Times New Roman"/>
          <w:szCs w:val="24"/>
        </w:rPr>
        <w:t xml:space="preserve"> </w:t>
      </w:r>
      <w:r>
        <w:rPr>
          <w:rFonts w:hint="eastAsia" w:ascii="Times New Roman" w:hAnsi="Times New Roman" w:cs="Times New Roman"/>
          <w:szCs w:val="24"/>
          <w:lang w:val="en-US" w:eastAsia="zh-CN"/>
        </w:rPr>
        <w:t xml:space="preserve">facilitating </w:t>
      </w:r>
      <w:r>
        <w:rPr>
          <w:rFonts w:ascii="Times New Roman" w:hAnsi="Times New Roman" w:cs="Times New Roman"/>
          <w:szCs w:val="24"/>
        </w:rPr>
        <w:t>green technological innovation</w:t>
      </w:r>
      <w:r>
        <w:rPr>
          <w:rFonts w:hint="eastAsia" w:ascii="Times New Roman" w:hAnsi="Times New Roman" w:cs="Times New Roman"/>
          <w:szCs w:val="24"/>
          <w:lang w:val="en-US" w:eastAsia="zh-CN"/>
        </w:rPr>
        <w:t>(GTI)</w:t>
      </w:r>
      <w:r>
        <w:rPr>
          <w:rFonts w:ascii="Times New Roman" w:hAnsi="Times New Roman" w:cs="Times New Roman"/>
          <w:szCs w:val="24"/>
        </w:rPr>
        <w:t xml:space="preserve">, stimulating </w:t>
      </w:r>
      <w:r>
        <w:rPr>
          <w:rFonts w:hint="eastAsia" w:ascii="Times New Roman" w:hAnsi="Times New Roman" w:cs="Times New Roman"/>
          <w:szCs w:val="24"/>
        </w:rPr>
        <w:t>a</w:t>
      </w:r>
      <w:r>
        <w:rPr>
          <w:rFonts w:ascii="Times New Roman" w:hAnsi="Times New Roman" w:cs="Times New Roman"/>
          <w:szCs w:val="24"/>
        </w:rPr>
        <w:t>gricultural en</w:t>
      </w:r>
      <w:r>
        <w:rPr>
          <w:rFonts w:hint="eastAsia" w:ascii="Times New Roman" w:hAnsi="Times New Roman" w:cs="Times New Roman"/>
          <w:szCs w:val="24"/>
          <w:lang w:val="en-US" w:eastAsia="zh-CN"/>
        </w:rPr>
        <w:t xml:space="preserve">trepreneurial activity(AEA), and </w:t>
      </w:r>
      <w:r>
        <w:rPr>
          <w:rFonts w:hint="default" w:ascii="Times New Roman" w:hAnsi="Times New Roman" w:cs="Times New Roman"/>
          <w:szCs w:val="24"/>
          <w:lang w:val="en-US" w:eastAsia="zh-CN"/>
        </w:rPr>
        <w:t>leveraging the moderating roles</w:t>
      </w:r>
      <w:r>
        <w:rPr>
          <w:rFonts w:hint="eastAsia" w:ascii="Times New Roman" w:hAnsi="Times New Roman" w:cs="Times New Roman"/>
          <w:szCs w:val="24"/>
          <w:lang w:val="en-US" w:eastAsia="zh-CN"/>
        </w:rPr>
        <w:t xml:space="preserve"> of green finance </w:t>
      </w:r>
      <w:r>
        <w:rPr>
          <w:rFonts w:hint="default" w:ascii="Times New Roman" w:hAnsi="Times New Roman" w:cs="Times New Roman"/>
          <w:szCs w:val="24"/>
          <w:lang w:val="en-US" w:eastAsia="zh-CN"/>
        </w:rPr>
        <w:t xml:space="preserve"> investment (GFI)</w:t>
      </w:r>
      <w:r>
        <w:rPr>
          <w:rFonts w:hint="eastAsia" w:ascii="Times New Roman" w:hAnsi="Times New Roman" w:cs="Times New Roman"/>
          <w:szCs w:val="24"/>
          <w:lang w:val="en-US" w:eastAsia="zh-CN"/>
        </w:rPr>
        <w:t xml:space="preserve"> and</w:t>
      </w:r>
      <w:r>
        <w:rPr>
          <w:rFonts w:ascii="Times New Roman" w:hAnsi="Times New Roman" w:cs="Times New Roman"/>
          <w:szCs w:val="24"/>
        </w:rPr>
        <w:t xml:space="preserve"> agricultural insurance</w:t>
      </w:r>
      <w:r>
        <w:rPr>
          <w:rFonts w:hint="default" w:ascii="Times New Roman" w:hAnsi="Times New Roman" w:cs="Times New Roman"/>
          <w:szCs w:val="24"/>
        </w:rPr>
        <w:t xml:space="preserve"> payout ratios (APR</w:t>
      </w:r>
      <w:r>
        <w:rPr>
          <w:rFonts w:hint="eastAsia" w:ascii="Times New Roman" w:hAnsi="Times New Roman" w:cs="Times New Roman"/>
          <w:szCs w:val="24"/>
          <w:lang w:val="en-US" w:eastAsia="zh-CN"/>
        </w:rPr>
        <w:t>)</w:t>
      </w:r>
      <w:r>
        <w:rPr>
          <w:rFonts w:ascii="Times New Roman" w:hAnsi="Times New Roman" w:cs="Times New Roman"/>
          <w:szCs w:val="24"/>
        </w:rPr>
        <w:t>.</w:t>
      </w:r>
      <w:r>
        <w:rPr>
          <w:rFonts w:hint="eastAsia" w:ascii="Times New Roman" w:hAnsi="Times New Roman" w:cs="Times New Roman"/>
          <w:szCs w:val="24"/>
          <w:lang w:val="en-US" w:eastAsia="zh-CN"/>
        </w:rPr>
        <w:t xml:space="preserve"> H</w:t>
      </w:r>
      <w:r>
        <w:rPr>
          <w:rFonts w:ascii="Times New Roman" w:hAnsi="Times New Roman" w:cs="Times New Roman"/>
          <w:szCs w:val="24"/>
        </w:rPr>
        <w:t>eterogeneity analysis reveal</w:t>
      </w:r>
      <w:r>
        <w:rPr>
          <w:rFonts w:hint="eastAsia" w:ascii="Times New Roman" w:hAnsi="Times New Roman" w:cs="Times New Roman"/>
          <w:szCs w:val="24"/>
        </w:rPr>
        <w:t>s</w:t>
      </w:r>
      <w:r>
        <w:rPr>
          <w:rFonts w:ascii="Times New Roman" w:hAnsi="Times New Roman" w:cs="Times New Roman"/>
          <w:szCs w:val="24"/>
        </w:rPr>
        <w:t xml:space="preserve"> that the </w:t>
      </w:r>
      <w:r>
        <w:rPr>
          <w:rFonts w:hint="eastAsia" w:ascii="Times New Roman" w:hAnsi="Times New Roman" w:cs="Times New Roman"/>
          <w:szCs w:val="24"/>
        </w:rPr>
        <w:t>positive</w:t>
      </w:r>
      <w:r>
        <w:rPr>
          <w:rFonts w:ascii="Times New Roman" w:hAnsi="Times New Roman" w:cs="Times New Roman"/>
          <w:szCs w:val="24"/>
        </w:rPr>
        <w:t xml:space="preserve"> effect</w:t>
      </w:r>
      <w:r>
        <w:rPr>
          <w:rFonts w:hint="eastAsia" w:ascii="Times New Roman" w:hAnsi="Times New Roman" w:cs="Times New Roman"/>
          <w:szCs w:val="24"/>
          <w:lang w:val="en-US" w:eastAsia="zh-CN"/>
        </w:rPr>
        <w:t>s</w:t>
      </w:r>
      <w:r>
        <w:rPr>
          <w:rFonts w:ascii="Times New Roman" w:hAnsi="Times New Roman" w:cs="Times New Roman"/>
          <w:szCs w:val="24"/>
        </w:rPr>
        <w:t xml:space="preserve"> of </w:t>
      </w:r>
      <w:r>
        <w:rPr>
          <w:rFonts w:hint="eastAsia" w:ascii="Times New Roman" w:hAnsi="Times New Roman" w:cs="Times New Roman"/>
          <w:szCs w:val="24"/>
          <w:lang w:val="en-US" w:eastAsia="zh-CN"/>
        </w:rPr>
        <w:t>NTU</w:t>
      </w:r>
      <w:r>
        <w:rPr>
          <w:rFonts w:ascii="Times New Roman" w:hAnsi="Times New Roman" w:cs="Times New Roman"/>
          <w:szCs w:val="24"/>
        </w:rPr>
        <w:t xml:space="preserve"> is more pronounced in provinces </w:t>
      </w:r>
      <w:r>
        <w:rPr>
          <w:rFonts w:hint="eastAsia" w:ascii="Times New Roman" w:hAnsi="Times New Roman" w:cs="Times New Roman"/>
          <w:szCs w:val="24"/>
        </w:rPr>
        <w:t>with</w:t>
      </w:r>
      <w:r>
        <w:rPr>
          <w:rFonts w:ascii="Times New Roman" w:hAnsi="Times New Roman" w:cs="Times New Roman"/>
          <w:szCs w:val="24"/>
        </w:rPr>
        <w:t xml:space="preserve"> lower levels of government intervention, less advanced industrial structures, and those </w:t>
      </w:r>
      <w:r>
        <w:rPr>
          <w:rFonts w:hint="eastAsia" w:ascii="Times New Roman" w:hAnsi="Times New Roman" w:cs="Times New Roman"/>
          <w:szCs w:val="24"/>
        </w:rPr>
        <w:t>situat</w:t>
      </w:r>
      <w:r>
        <w:rPr>
          <w:rFonts w:ascii="Times New Roman" w:hAnsi="Times New Roman" w:cs="Times New Roman"/>
          <w:szCs w:val="24"/>
        </w:rPr>
        <w:t>ed in the eastern and central regions of China.</w:t>
      </w:r>
      <w:r>
        <w:rPr>
          <w:rFonts w:hint="eastAsia" w:ascii="Times New Roman" w:hAnsi="Times New Roman" w:cs="Times New Roman"/>
          <w:szCs w:val="24"/>
        </w:rPr>
        <w:t xml:space="preserve"> </w:t>
      </w:r>
      <w:r>
        <w:rPr>
          <w:rFonts w:ascii="Times New Roman" w:hAnsi="Times New Roman" w:cs="Times New Roman"/>
          <w:szCs w:val="24"/>
        </w:rPr>
        <w:t>These findings</w:t>
      </w:r>
      <w:r>
        <w:rPr>
          <w:rFonts w:hint="eastAsia" w:ascii="Times New Roman" w:hAnsi="Times New Roman" w:cs="Times New Roman"/>
          <w:szCs w:val="24"/>
          <w:lang w:val="en-US" w:eastAsia="zh-CN"/>
        </w:rPr>
        <w:t xml:space="preserve"> </w:t>
      </w:r>
      <w:r>
        <w:rPr>
          <w:rFonts w:hint="default" w:ascii="Times New Roman" w:hAnsi="Times New Roman" w:cs="Times New Roman"/>
          <w:szCs w:val="24"/>
        </w:rPr>
        <w:t>underscore the importance of</w:t>
      </w:r>
      <w:r>
        <w:rPr>
          <w:rFonts w:ascii="Times New Roman" w:hAnsi="Times New Roman" w:cs="Times New Roman"/>
          <w:szCs w:val="24"/>
        </w:rPr>
        <w:t xml:space="preserve"> accelerating the urbanization, fostering green innovation and entrepreneurship in agriculture</w:t>
      </w:r>
      <w:r>
        <w:rPr>
          <w:rFonts w:hint="eastAsia" w:ascii="Times New Roman" w:hAnsi="Times New Roman" w:cs="Times New Roman"/>
          <w:szCs w:val="24"/>
        </w:rPr>
        <w:t xml:space="preserve">, </w:t>
      </w:r>
      <w:r>
        <w:rPr>
          <w:rFonts w:hint="default" w:ascii="Times New Roman" w:hAnsi="Times New Roman" w:cs="Times New Roman"/>
          <w:szCs w:val="24"/>
        </w:rPr>
        <w:t>strengthening</w:t>
      </w:r>
      <w:r>
        <w:rPr>
          <w:rFonts w:hint="eastAsia" w:ascii="Times New Roman" w:hAnsi="Times New Roman" w:cs="Times New Roman"/>
          <w:szCs w:val="24"/>
        </w:rPr>
        <w:t xml:space="preserve"> </w:t>
      </w:r>
      <w:r>
        <w:rPr>
          <w:rFonts w:ascii="Times New Roman" w:hAnsi="Times New Roman" w:cs="Times New Roman"/>
          <w:szCs w:val="24"/>
        </w:rPr>
        <w:t xml:space="preserve">financial and insurance support mechanisms, and implementing regionally differentiated development strategies  </w:t>
      </w:r>
      <w:r>
        <w:rPr>
          <w:rFonts w:hint="default" w:ascii="Times New Roman" w:hAnsi="Times New Roman" w:cs="Times New Roman"/>
          <w:szCs w:val="24"/>
        </w:rPr>
        <w:t>to bolster</w:t>
      </w:r>
      <w:r>
        <w:rPr>
          <w:rFonts w:hint="eastAsia" w:ascii="Times New Roman" w:hAnsi="Times New Roman" w:cs="Times New Roman"/>
          <w:szCs w:val="24"/>
          <w:lang w:val="en-US" w:eastAsia="zh-CN"/>
        </w:rPr>
        <w:t xml:space="preserve"> </w:t>
      </w:r>
      <w:r>
        <w:rPr>
          <w:rFonts w:ascii="Times New Roman" w:hAnsi="Times New Roman" w:cs="Times New Roman"/>
          <w:szCs w:val="24"/>
        </w:rPr>
        <w:t xml:space="preserve">the resilience of China’s agricultural sector. Such </w:t>
      </w:r>
      <w:r>
        <w:rPr>
          <w:rFonts w:hint="eastAsia" w:ascii="Times New Roman" w:hAnsi="Times New Roman" w:cs="Times New Roman"/>
          <w:szCs w:val="24"/>
        </w:rPr>
        <w:t>measure</w:t>
      </w:r>
      <w:r>
        <w:rPr>
          <w:rFonts w:ascii="Times New Roman" w:hAnsi="Times New Roman" w:cs="Times New Roman"/>
          <w:szCs w:val="24"/>
        </w:rPr>
        <w:t>s will contribute to high-quality, sustainable development and</w:t>
      </w:r>
      <w:r>
        <w:rPr>
          <w:rFonts w:hint="eastAsia" w:ascii="Times New Roman" w:hAnsi="Times New Roman" w:cs="Times New Roman"/>
          <w:szCs w:val="24"/>
        </w:rPr>
        <w:t xml:space="preserve"> further</w:t>
      </w:r>
      <w:r>
        <w:rPr>
          <w:rFonts w:ascii="Times New Roman" w:hAnsi="Times New Roman" w:cs="Times New Roman"/>
          <w:szCs w:val="24"/>
        </w:rPr>
        <w:t xml:space="preserve"> the </w:t>
      </w:r>
      <w:r>
        <w:rPr>
          <w:rFonts w:hint="default" w:ascii="Times New Roman" w:hAnsi="Times New Roman" w:cs="Times New Roman"/>
          <w:szCs w:val="24"/>
        </w:rPr>
        <w:t>broader</w:t>
      </w:r>
      <w:r>
        <w:rPr>
          <w:rFonts w:hint="eastAsia" w:ascii="Times New Roman" w:hAnsi="Times New Roman" w:cs="Times New Roman"/>
          <w:szCs w:val="24"/>
          <w:lang w:val="en-US" w:eastAsia="zh-CN"/>
        </w:rPr>
        <w:t xml:space="preserve"> </w:t>
      </w:r>
      <w:r>
        <w:rPr>
          <w:rFonts w:ascii="Times New Roman" w:hAnsi="Times New Roman" w:cs="Times New Roman"/>
          <w:szCs w:val="24"/>
        </w:rPr>
        <w:t>goal of building a strong agricultural nation.</w:t>
      </w:r>
    </w:p>
    <w:p w14:paraId="553F86DA">
      <w:pPr>
        <w:spacing w:line="480" w:lineRule="auto"/>
        <w:rPr>
          <w:rFonts w:ascii="Times New Roman" w:hAnsi="Times New Roman" w:cs="Times New Roman"/>
          <w:szCs w:val="24"/>
        </w:rPr>
      </w:pPr>
      <w:r>
        <w:rPr>
          <w:rFonts w:ascii="Times New Roman" w:hAnsi="Times New Roman" w:cs="Times New Roman"/>
          <w:b/>
          <w:bCs/>
          <w:szCs w:val="24"/>
        </w:rPr>
        <w:t>Keywords:</w:t>
      </w:r>
      <w:r>
        <w:rPr>
          <w:rFonts w:ascii="Times New Roman" w:hAnsi="Times New Roman" w:cs="Times New Roman"/>
          <w:szCs w:val="24"/>
        </w:rPr>
        <w:t xml:space="preserve"> agricultural economic resilience; new-type urbanization; two-way fixed effects; mechanism analysis</w:t>
      </w:r>
    </w:p>
    <w:p w14:paraId="52F0DCB1">
      <w:pPr>
        <w:spacing w:line="480" w:lineRule="auto"/>
        <w:rPr>
          <w:rFonts w:ascii="Times New Roman" w:hAnsi="Times New Roman" w:cs="Times New Roman"/>
          <w:szCs w:val="24"/>
        </w:rPr>
      </w:pPr>
    </w:p>
    <w:p w14:paraId="4DDB9C75">
      <w:pPr>
        <w:spacing w:line="480" w:lineRule="auto"/>
        <w:rPr>
          <w:rFonts w:ascii="Times New Roman" w:hAnsi="Times New Roman" w:cs="Times New Roman"/>
          <w:szCs w:val="24"/>
        </w:rPr>
      </w:pPr>
    </w:p>
    <w:p w14:paraId="10838BC7">
      <w:pPr>
        <w:spacing w:line="480" w:lineRule="auto"/>
        <w:rPr>
          <w:rFonts w:ascii="Times New Roman" w:hAnsi="Times New Roman" w:cs="Times New Roman"/>
          <w:szCs w:val="24"/>
        </w:rPr>
      </w:pPr>
    </w:p>
    <w:p w14:paraId="313E721F">
      <w:pPr>
        <w:spacing w:line="480" w:lineRule="auto"/>
        <w:rPr>
          <w:rFonts w:ascii="Times New Roman" w:hAnsi="Times New Roman" w:cs="Times New Roman"/>
          <w:szCs w:val="24"/>
        </w:rPr>
      </w:pPr>
    </w:p>
    <w:p w14:paraId="0BAFC179">
      <w:pPr>
        <w:spacing w:line="480" w:lineRule="auto"/>
        <w:rPr>
          <w:rFonts w:ascii="Times New Roman" w:hAnsi="Times New Roman" w:cs="Times New Roman"/>
          <w:szCs w:val="24"/>
        </w:rPr>
      </w:pPr>
    </w:p>
    <w:p w14:paraId="08D6F966">
      <w:pPr>
        <w:spacing w:line="480" w:lineRule="auto"/>
        <w:rPr>
          <w:rFonts w:ascii="Times New Roman" w:hAnsi="Times New Roman" w:cs="Times New Roman"/>
          <w:szCs w:val="24"/>
        </w:rPr>
      </w:pPr>
    </w:p>
    <w:p w14:paraId="44626CCF">
      <w:pPr>
        <w:spacing w:line="480" w:lineRule="auto"/>
        <w:rPr>
          <w:rFonts w:ascii="Times New Roman" w:hAnsi="Times New Roman" w:cs="Times New Roman"/>
          <w:szCs w:val="24"/>
        </w:rPr>
      </w:pPr>
    </w:p>
    <w:p w14:paraId="01253EF4">
      <w:pPr>
        <w:ind w:firstLine="480"/>
        <w:rPr>
          <w:rFonts w:hint="eastAsia" w:ascii="宋体" w:hAnsi="宋体" w:eastAsia="宋体"/>
          <w:sz w:val="24"/>
          <w:szCs w:val="24"/>
        </w:rPr>
      </w:pPr>
    </w:p>
    <w:p w14:paraId="0CECBD62">
      <w:pPr>
        <w:spacing w:after="120" w:afterLines="50" w:line="480" w:lineRule="auto"/>
        <w:rPr>
          <w:rFonts w:ascii="Times New Roman" w:hAnsi="Times New Roman" w:cs="Times New Roman"/>
          <w:b/>
          <w:bCs/>
          <w:szCs w:val="24"/>
        </w:rPr>
      </w:pPr>
      <w:r>
        <w:rPr>
          <w:rFonts w:hint="eastAsia" w:ascii="Times New Roman" w:hAnsi="Times New Roman" w:cs="Times New Roman"/>
          <w:b/>
          <w:bCs/>
          <w:szCs w:val="24"/>
        </w:rPr>
        <w:t>1.</w:t>
      </w:r>
      <w:r>
        <w:rPr>
          <w:rFonts w:ascii="Times New Roman" w:hAnsi="Times New Roman" w:cs="Times New Roman"/>
          <w:b/>
          <w:bCs/>
          <w:szCs w:val="24"/>
        </w:rPr>
        <w:t xml:space="preserve"> Introduction</w:t>
      </w:r>
    </w:p>
    <w:p w14:paraId="712A088E">
      <w:pPr>
        <w:spacing w:line="480" w:lineRule="auto"/>
        <w:ind w:firstLine="420" w:firstLineChars="200"/>
        <w:rPr>
          <w:rFonts w:ascii="Times New Roman" w:hAnsi="Times New Roman" w:cs="Times New Roman"/>
          <w:szCs w:val="24"/>
        </w:rPr>
      </w:pPr>
      <w:bookmarkStart w:id="0" w:name="OLE_LINK6"/>
      <w:r>
        <w:rPr>
          <w:rFonts w:ascii="Times New Roman" w:hAnsi="Times New Roman" w:cs="Times New Roman"/>
          <w:szCs w:val="24"/>
        </w:rPr>
        <w:t>Amid frequent global climate fluctuations</w:t>
      </w:r>
      <w:bookmarkStart w:id="1" w:name="OLE_LINK1"/>
      <w:r>
        <w:rPr>
          <w:rFonts w:ascii="Times New Roman" w:hAnsi="Times New Roman" w:cs="Times New Roman"/>
          <w:szCs w:val="24"/>
        </w:rPr>
        <w:fldChar w:fldCharType="begin">
          <w:fldData xml:space="preserve">PEVuZE5vdGU+PENpdGU+PEF1dGhvcj5SZWhtYW48L0F1dGhvcj48WWVhcj4yMDI0PC9ZZWFyPjxS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</w:fldData>
        </w:fldChar>
      </w:r>
      <w:r>
        <w:rPr>
          <w:rFonts w:ascii="Times New Roman" w:hAnsi="Times New Roman" w:cs="Times New Roman"/>
          <w:szCs w:val="24"/>
        </w:rPr>
        <w:instrText xml:space="preserve"> ADDIN EN.CITE </w:instrText>
      </w:r>
      <w:r>
        <w:rPr>
          <w:rFonts w:ascii="Times New Roman" w:hAnsi="Times New Roman" w:cs="Times New Roman"/>
          <w:szCs w:val="24"/>
        </w:rPr>
        <w:fldChar w:fldCharType="begin">
          <w:fldData xml:space="preserve">PEVuZE5vdGU+PENpdGU+PEF1dGhvcj5SZWhtYW48L0F1dGhvcj48WWVhcj4yMDI0PC9ZZWFyPjxS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</w:fldData>
        </w:fldChar>
      </w:r>
      <w:r>
        <w:rPr>
          <w:rFonts w:ascii="Times New Roman" w:hAnsi="Times New Roman" w:cs="Times New Roman"/>
          <w:szCs w:val="24"/>
        </w:rPr>
        <w:instrText xml:space="preserve"> ADDIN EN.CITE.DATA </w:instrText>
      </w:r>
      <w:r>
        <w:rPr>
          <w:rFonts w:ascii="Times New Roman" w:hAnsi="Times New Roman" w:cs="Times New Roman"/>
          <w:szCs w:val="24"/>
        </w:rPr>
        <w:fldChar w:fldCharType="end"/>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"_ENREF_38" \o "Rehman, 2024 #1" </w:instrText>
      </w:r>
      <w:r>
        <w:fldChar w:fldCharType="separate"/>
      </w:r>
      <w:r>
        <w:rPr>
          <w:rStyle w:val="23"/>
          <w:rFonts w:hint="eastAsia"/>
        </w:rPr>
        <w:t>Rehman et al., 2024</w:t>
      </w:r>
      <w:r>
        <w:rPr>
          <w:rStyle w:val="23"/>
          <w:rFonts w:hint="eastAsia"/>
        </w:rPr>
        <w:fldChar w:fldCharType="end"/>
      </w:r>
      <w:r>
        <w:rPr>
          <w:rFonts w:ascii="Times New Roman" w:hAnsi="Times New Roman" w:cs="Times New Roman"/>
          <w:szCs w:val="24"/>
        </w:rPr>
        <w:t xml:space="preserve">; </w:t>
      </w:r>
      <w:r>
        <w:fldChar w:fldCharType="begin"/>
      </w:r>
      <w:r>
        <w:instrText xml:space="preserve"> HYPERLINK \l "_ENREF_44" \o "Urom, 2022 #2" </w:instrText>
      </w:r>
      <w:r>
        <w:fldChar w:fldCharType="separate"/>
      </w:r>
      <w:r>
        <w:rPr>
          <w:rStyle w:val="23"/>
          <w:rFonts w:hint="eastAsia"/>
        </w:rPr>
        <w:t>Urom et al., 2022</w:t>
      </w:r>
      <w:r>
        <w:rPr>
          <w:rStyle w:val="23"/>
          <w:rFonts w:hint="eastAsia"/>
        </w:rPr>
        <w:fldChar w:fldCharType="end"/>
      </w:r>
      <w:r>
        <w:rPr>
          <w:rFonts w:ascii="Times New Roman" w:hAnsi="Times New Roman" w:cs="Times New Roman"/>
          <w:szCs w:val="24"/>
        </w:rPr>
        <w:t xml:space="preserve">; </w:t>
      </w:r>
      <w:r>
        <w:fldChar w:fldCharType="begin"/>
      </w:r>
      <w:r>
        <w:instrText xml:space="preserve"> HYPERLINK \l "_ENREF_24" \o "Lee, 2024 #3" </w:instrText>
      </w:r>
      <w:r>
        <w:fldChar w:fldCharType="separate"/>
      </w:r>
      <w:r>
        <w:rPr>
          <w:rStyle w:val="23"/>
          <w:rFonts w:hint="eastAsia"/>
        </w:rPr>
        <w:t>Lee et al., 2024</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geopolitical tensions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&lt;EndNote&gt;&lt;Cite&gt;&lt;Author&gt;Edelman&lt;/Author&gt;&lt;Year&gt;2014&lt;/Year&gt;&lt;RecNum&gt;4&lt;/RecNum&gt;&lt;DisplayText&gt; (Edelman et al., 2014; Wittman, 2023)&lt;/DisplayText&gt;&lt;record&gt;&lt;rec-number&gt;4&lt;/rec-number&gt;&lt;foreign-keys&gt;&lt;key app="EN" db-id="dv0v2adwc2etf1ep9tapzzz5vffpepr5wxwa" timestamp="1765087845"&gt;4&lt;/key&gt;&lt;/foreign-keys&gt;&lt;ref-type name="Journal Article"&gt;17&lt;/ref-type&gt;&lt;contributors&gt;&lt;authors&gt;&lt;author&gt;Edelman, Marc&lt;/author&gt;&lt;author&gt;Weis, Tony&lt;/author&gt;&lt;author&gt;Baviskar, Amita&lt;/author&gt;&lt;author&gt;Borras, Saturnino M.&lt;/author&gt;&lt;author&gt;Holt-Giménez, Eric&lt;/author&gt;&lt;author&gt;Kandiyoti, Deniz&lt;/author&gt;&lt;author&gt;Wolford, Wendy&lt;/author&gt;&lt;/authors&gt;&lt;/contributors&gt;&lt;titles&gt;&lt;title&gt;Introduction: critical perspectives on food sovereignty&lt;/title&gt;&lt;secondary-title&gt;The Journal of Peasant Studies&lt;/secondary-title&gt;&lt;/titles&gt;&lt;periodical&gt;&lt;full-title&gt;The Journal of Peasant Studies&lt;/full-title&gt;&lt;/periodical&gt;&lt;pages&gt;911-931&lt;/pages&gt;&lt;volume&gt;41&lt;/volume&gt;&lt;number&gt;6&lt;/number&gt;&lt;section&gt;911&lt;/section&gt;&lt;dates&gt;&lt;year&gt;2014&lt;/year&gt;&lt;/dates&gt;&lt;isbn&gt;0306-6150&amp;#xD;1743-9361&lt;/isbn&gt;&lt;urls&gt;&lt;/urls&gt;&lt;electronic-resource-num&gt;10.1080/03066150.2014.963568&lt;/electronic-resource-num&gt;&lt;/record&gt;&lt;/Cite&gt;&lt;Cite&gt;&lt;Author&gt;Wittman&lt;/Author&gt;&lt;Year&gt;2023&lt;/Year&gt;&lt;RecNum&gt;5&lt;/RecNum&gt;&lt;record&gt;&lt;rec-number&gt;5&lt;/rec-number&gt;&lt;foreign-keys&gt;&lt;key app="EN" db-id="dv0v2adwc2etf1ep9tapzzz5vffpepr5wxwa" timestamp="1765087865"&gt;5&lt;/key&gt;&lt;/foreign-keys&gt;&lt;ref-type name="Journal Article"&gt;17&lt;/ref-type&gt;&lt;contributors&gt;&lt;authors&gt;&lt;author&gt;Wittman, Hannah&lt;/author&gt;&lt;/authors&gt;&lt;/contributors&gt;&lt;titles&gt;&lt;title&gt;Food sovereignty: An inclusive model for feeding the world and cooling the planet&lt;/title&gt;&lt;secondary-title&gt;One Earth&lt;/secondary-title&gt;&lt;/titles&gt;&lt;periodical&gt;&lt;full-title&gt;One Earth&lt;/full-title&gt;&lt;/periodical&gt;&lt;pages&gt;474-478&lt;/pages&gt;&lt;volume&gt;6&lt;/volume&gt;&lt;number&gt;5&lt;/number&gt;&lt;section&gt;474&lt;/section&gt;&lt;dates&gt;&lt;year&gt;2023&lt;/year&gt;&lt;/dates&gt;&lt;isbn&gt;25903322&lt;/isbn&gt;&lt;urls&gt;&lt;/urls&gt;&lt;electronic-resource-num&gt;10.1016/j.oneear.2023.04.011&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"_ENREF_12" \o "Edelman, 2014 #4" </w:instrText>
      </w:r>
      <w:r>
        <w:fldChar w:fldCharType="separate"/>
      </w:r>
      <w:r>
        <w:rPr>
          <w:rStyle w:val="23"/>
          <w:rFonts w:hint="eastAsia"/>
        </w:rPr>
        <w:t>Edelman et al., 2014</w:t>
      </w:r>
      <w:r>
        <w:rPr>
          <w:rStyle w:val="23"/>
          <w:rFonts w:hint="eastAsia"/>
        </w:rPr>
        <w:fldChar w:fldCharType="end"/>
      </w:r>
      <w:r>
        <w:rPr>
          <w:rFonts w:ascii="Times New Roman" w:hAnsi="Times New Roman" w:cs="Times New Roman"/>
          <w:szCs w:val="24"/>
        </w:rPr>
        <w:t xml:space="preserve">; </w:t>
      </w:r>
      <w:r>
        <w:fldChar w:fldCharType="begin"/>
      </w:r>
      <w:r>
        <w:instrText xml:space="preserve"> HYPERLINK \l "_ENREF_50" \o "Wittman, 2023 #5" </w:instrText>
      </w:r>
      <w:r>
        <w:fldChar w:fldCharType="separate"/>
      </w:r>
      <w:r>
        <w:rPr>
          <w:rStyle w:val="23"/>
          <w:rFonts w:hint="eastAsia"/>
        </w:rPr>
        <w:t>Wittman, 2023</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bookmarkEnd w:id="1"/>
      <w:r>
        <w:rPr>
          <w:rFonts w:hint="eastAsia" w:ascii="Times New Roman" w:hAnsi="Times New Roman" w:cs="Times New Roman"/>
          <w:szCs w:val="24"/>
        </w:rPr>
        <w:t xml:space="preserve">, </w:t>
      </w:r>
      <w:r>
        <w:rPr>
          <w:rFonts w:ascii="Times New Roman" w:hAnsi="Times New Roman" w:cs="Times New Roman"/>
          <w:szCs w:val="24"/>
        </w:rPr>
        <w:t>and recurrent droughts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&lt;EndNote&gt;&lt;Cite&gt;&lt;Author&gt;Guo&lt;/Author&gt;&lt;Year&gt;2024&lt;/Year&gt;&lt;RecNum&gt;6&lt;/RecNum&gt;&lt;DisplayText&gt; (Guo et al., 2024)&lt;/DisplayText&gt;&lt;record&gt;&lt;rec-number&gt;6&lt;/rec-number&gt;&lt;foreign-keys&gt;&lt;key app="EN" db-id="dv0v2adwc2etf1ep9tapzzz5vffpepr5wxwa" timestamp="1765088161"&gt;6&lt;/key&gt;&lt;/foreign-keys&gt;&lt;ref-type name="Journal Article"&gt;17&lt;/ref-type&gt;&lt;contributors&gt;&lt;authors&gt;&lt;author&gt;Guo, Jin&lt;/author&gt;&lt;author&gt;Xiao, Dongyang&lt;/author&gt;&lt;author&gt;Sun, Xialing&lt;/author&gt;&lt;author&gt;Guo, Fuchen&lt;/author&gt;&lt;author&gt;Xue, Sha&lt;/author&gt;&lt;author&gt;Fan, Liangxin&lt;/author&gt;&lt;/authors&gt;&lt;/contributors&gt;&lt;titles&gt;&lt;title&gt;Drought risk assessment on arid region under different socioeconomic scenarios: A case of Loess Plateau, China&lt;/title&gt;&lt;secondary-title&gt;Ecological Indicators&lt;/secondary-title&gt;&lt;/titles&gt;&lt;periodical&gt;&lt;full-title&gt;Ecological Indicators&lt;/full-title&gt;&lt;/periodical&gt;&lt;pages&gt;112728&lt;/pages&gt;&lt;volume&gt;167&lt;/volume&gt;&lt;section&gt;112728&lt;/section&gt;&lt;dates&gt;&lt;year&gt;2024&lt;/year&gt;&lt;/dates&gt;&lt;isbn&gt;1470160X&lt;/isbn&gt;&lt;urls&gt;&lt;/urls&gt;&lt;electronic-resource-num&gt;10.1016/j.ecolind.2024.112728&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"_ENREF_17" \o "Guo, 2024 #6" </w:instrText>
      </w:r>
      <w:r>
        <w:fldChar w:fldCharType="separate"/>
      </w:r>
      <w:r>
        <w:rPr>
          <w:rStyle w:val="23"/>
          <w:rFonts w:hint="eastAsia"/>
        </w:rPr>
        <w:t>Guo et al., 2024</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agriculture</w:t>
      </w:r>
      <w:r>
        <w:rPr>
          <w:rFonts w:hint="eastAsia" w:ascii="Times New Roman" w:hAnsi="Times New Roman" w:cs="Times New Roman"/>
          <w:szCs w:val="24"/>
        </w:rPr>
        <w:t>-</w:t>
      </w:r>
      <w:r>
        <w:rPr>
          <w:rFonts w:ascii="Times New Roman" w:hAnsi="Times New Roman" w:cs="Times New Roman"/>
          <w:szCs w:val="24"/>
        </w:rPr>
        <w:t>as a fundamental pillar of the national econom</w:t>
      </w:r>
      <w:r>
        <w:rPr>
          <w:rFonts w:hint="eastAsia" w:ascii="Times New Roman" w:hAnsi="Times New Roman" w:cs="Times New Roman"/>
          <w:szCs w:val="24"/>
          <w:lang w:val="en-US" w:eastAsia="zh-CN"/>
        </w:rPr>
        <w:t>ies</w:t>
      </w:r>
      <w:r>
        <w:rPr>
          <w:rFonts w:hint="eastAsia" w:ascii="Times New Roman" w:hAnsi="Times New Roman" w:cs="Times New Roman"/>
          <w:szCs w:val="24"/>
        </w:rPr>
        <w:t>-</w:t>
      </w:r>
      <w:r>
        <w:rPr>
          <w:rFonts w:hint="default" w:ascii="Times New Roman" w:hAnsi="Times New Roman" w:cs="Times New Roman"/>
          <w:szCs w:val="24"/>
        </w:rPr>
        <w:t>has drawn growing scholarly and policy concern regarding</w:t>
      </w:r>
      <w:r>
        <w:rPr>
          <w:rFonts w:hint="eastAsia" w:ascii="Times New Roman" w:hAnsi="Times New Roman" w:cs="Times New Roman"/>
          <w:szCs w:val="24"/>
          <w:lang w:val="en-US" w:eastAsia="zh-CN"/>
        </w:rPr>
        <w:t xml:space="preserve"> </w:t>
      </w:r>
      <w:r>
        <w:rPr>
          <w:rFonts w:ascii="Times New Roman" w:hAnsi="Times New Roman" w:cs="Times New Roman"/>
          <w:szCs w:val="24"/>
        </w:rPr>
        <w:t xml:space="preserve">its stability and sustainability. As the world’s largest developing country, China continues to </w:t>
      </w:r>
      <w:r>
        <w:rPr>
          <w:rFonts w:hint="default" w:ascii="Times New Roman" w:hAnsi="Times New Roman" w:cs="Times New Roman"/>
          <w:szCs w:val="24"/>
        </w:rPr>
        <w:t>confron</w:t>
      </w:r>
      <w:r>
        <w:rPr>
          <w:rFonts w:hint="eastAsia" w:ascii="Times New Roman" w:hAnsi="Times New Roman" w:cs="Times New Roman"/>
          <w:szCs w:val="24"/>
          <w:lang w:val="en-US" w:eastAsia="zh-CN"/>
        </w:rPr>
        <w:t>t</w:t>
      </w:r>
      <w:r>
        <w:rPr>
          <w:rFonts w:ascii="Times New Roman" w:hAnsi="Times New Roman" w:cs="Times New Roman"/>
          <w:szCs w:val="24"/>
        </w:rPr>
        <w:t xml:space="preserve"> strategic pressures</w:t>
      </w:r>
      <w:r>
        <w:rPr>
          <w:rFonts w:hint="eastAsia" w:ascii="Times New Roman" w:hAnsi="Times New Roman" w:cs="Times New Roman"/>
          <w:szCs w:val="24"/>
        </w:rPr>
        <w:t xml:space="preserve"> </w:t>
      </w:r>
      <w:r>
        <w:rPr>
          <w:rFonts w:ascii="Times New Roman" w:hAnsi="Times New Roman" w:cs="Times New Roman"/>
          <w:szCs w:val="24"/>
        </w:rPr>
        <w:t>in</w:t>
      </w:r>
      <w:r>
        <w:rPr>
          <w:rFonts w:hint="eastAsia" w:ascii="Times New Roman" w:hAnsi="Times New Roman" w:cs="Times New Roman"/>
          <w:szCs w:val="24"/>
        </w:rPr>
        <w:t xml:space="preserve"> </w:t>
      </w:r>
      <w:r>
        <w:rPr>
          <w:rFonts w:hint="default" w:ascii="Times New Roman" w:hAnsi="Times New Roman" w:cs="Times New Roman"/>
          <w:szCs w:val="24"/>
        </w:rPr>
        <w:t>safeguarding</w:t>
      </w:r>
      <w:r>
        <w:rPr>
          <w:rFonts w:hint="eastAsia" w:ascii="Times New Roman" w:hAnsi="Times New Roman" w:cs="Times New Roman"/>
          <w:szCs w:val="24"/>
        </w:rPr>
        <w:t xml:space="preserve"> </w:t>
      </w:r>
      <w:r>
        <w:rPr>
          <w:rFonts w:ascii="Times New Roman" w:hAnsi="Times New Roman" w:cs="Times New Roman"/>
          <w:szCs w:val="24"/>
        </w:rPr>
        <w:t>food security</w:t>
      </w:r>
      <w:r>
        <w:rPr>
          <w:rFonts w:ascii="Times New Roman" w:hAnsi="Times New Roman" w:cs="Times New Roman"/>
          <w:szCs w:val="24"/>
        </w:rPr>
        <w:fldChar w:fldCharType="begin">
          <w:fldData xml:space="preserve">PEVuZE5vdGU+PENpdGU+PEF1dGhvcj5EdTwvQXV0aG9yPjxZZWFyPjIwMjU8L1llYXI+PFJlY051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</w:fldData>
        </w:fldChar>
      </w:r>
      <w:r>
        <w:rPr>
          <w:rFonts w:ascii="Times New Roman" w:hAnsi="Times New Roman" w:cs="Times New Roman"/>
          <w:szCs w:val="24"/>
        </w:rPr>
        <w:instrText xml:space="preserve"> ADDIN EN.CITE </w:instrText>
      </w:r>
      <w:r>
        <w:rPr>
          <w:rFonts w:ascii="Times New Roman" w:hAnsi="Times New Roman" w:cs="Times New Roman"/>
          <w:szCs w:val="24"/>
        </w:rPr>
        <w:fldChar w:fldCharType="begin">
          <w:fldData xml:space="preserve">PEVuZE5vdGU+PENpdGU+PEF1dGhvcj5EdTwvQXV0aG9yPjxZZWFyPjIwMjU8L1llYXI+PFJlY051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</w:fldData>
        </w:fldChar>
      </w:r>
      <w:r>
        <w:rPr>
          <w:rFonts w:ascii="Times New Roman" w:hAnsi="Times New Roman" w:cs="Times New Roman"/>
          <w:szCs w:val="24"/>
        </w:rPr>
        <w:instrText xml:space="preserve"> ADDIN EN.CITE.DATA </w:instrText>
      </w:r>
      <w:r>
        <w:rPr>
          <w:rFonts w:ascii="Times New Roman" w:hAnsi="Times New Roman" w:cs="Times New Roman"/>
          <w:szCs w:val="24"/>
        </w:rPr>
        <w:fldChar w:fldCharType="end"/>
      </w:r>
      <w:r>
        <w:rPr>
          <w:rFonts w:ascii="Times New Roman" w:hAnsi="Times New Roman" w:cs="Times New Roman"/>
          <w:szCs w:val="24"/>
        </w:rPr>
        <w:fldChar w:fldCharType="separate"/>
      </w:r>
      <w:r>
        <w:rPr>
          <w:rFonts w:ascii="Times New Roman" w:hAnsi="Times New Roman" w:cs="Times New Roman"/>
          <w:szCs w:val="24"/>
        </w:rPr>
        <w:t> (</w:t>
      </w:r>
      <w:r>
        <w:fldChar w:fldCharType="begin"/>
      </w:r>
      <w:r>
        <w:instrText xml:space="preserve"> HYPERLINK \l "_ENREF_8" \o "Du, 2025 #7" </w:instrText>
      </w:r>
      <w:r>
        <w:fldChar w:fldCharType="separate"/>
      </w:r>
      <w:r>
        <w:rPr>
          <w:rStyle w:val="23"/>
          <w:rFonts w:hint="eastAsia"/>
        </w:rPr>
        <w:t>Du et al., 2025a</w:t>
      </w:r>
      <w:r>
        <w:rPr>
          <w:rStyle w:val="23"/>
          <w:rFonts w:hint="eastAsia"/>
        </w:rPr>
        <w:fldChar w:fldCharType="end"/>
      </w:r>
      <w:r>
        <w:rPr>
          <w:rFonts w:ascii="Times New Roman" w:hAnsi="Times New Roman" w:cs="Times New Roman"/>
          <w:szCs w:val="24"/>
        </w:rPr>
        <w:t xml:space="preserve">; </w:t>
      </w:r>
      <w:r>
        <w:fldChar w:fldCharType="begin"/>
      </w:r>
      <w:r>
        <w:instrText xml:space="preserve"> HYPERLINK \l "_ENREF_28" \o "Liu, 2024 #8" </w:instrText>
      </w:r>
      <w:r>
        <w:fldChar w:fldCharType="separate"/>
      </w:r>
      <w:r>
        <w:rPr>
          <w:rStyle w:val="23"/>
          <w:rFonts w:hint="eastAsia"/>
        </w:rPr>
        <w:t>Liu et al., 2024</w:t>
      </w:r>
      <w:r>
        <w:rPr>
          <w:rStyle w:val="23"/>
          <w:rFonts w:hint="eastAsia"/>
        </w:rPr>
        <w:fldChar w:fldCharType="end"/>
      </w:r>
      <w:r>
        <w:rPr>
          <w:rFonts w:ascii="Times New Roman" w:hAnsi="Times New Roman" w:cs="Times New Roman"/>
          <w:szCs w:val="24"/>
        </w:rPr>
        <w:t xml:space="preserve">; </w:t>
      </w:r>
      <w:r>
        <w:fldChar w:fldCharType="begin"/>
      </w:r>
      <w:r>
        <w:instrText xml:space="preserve"> HYPERLINK \l "_ENREF_34" \o "Prăvălie, 2021 #9" </w:instrText>
      </w:r>
      <w:r>
        <w:fldChar w:fldCharType="separate"/>
      </w:r>
      <w:r>
        <w:rPr>
          <w:rStyle w:val="23"/>
          <w:rFonts w:hint="eastAsia"/>
        </w:rPr>
        <w:t>Pr</w:t>
      </w:r>
      <w:r>
        <w:rPr>
          <w:rStyle w:val="23"/>
          <w:rFonts w:ascii="Cambria" w:hAnsi="Cambria" w:cs="Cambria"/>
        </w:rPr>
        <w:t>ă</w:t>
      </w:r>
      <w:r>
        <w:rPr>
          <w:rStyle w:val="23"/>
          <w:rFonts w:hint="eastAsia"/>
        </w:rPr>
        <w:t>v</w:t>
      </w:r>
      <w:r>
        <w:rPr>
          <w:rStyle w:val="23"/>
          <w:rFonts w:ascii="Cambria" w:hAnsi="Cambria" w:cs="Cambria"/>
        </w:rPr>
        <w:t>ă</w:t>
      </w:r>
      <w:r>
        <w:rPr>
          <w:rStyle w:val="23"/>
          <w:rFonts w:hint="eastAsia"/>
        </w:rPr>
        <w:t>lie et al., 2021</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 xml:space="preserve">On the one hand, </w:t>
      </w:r>
      <w:r>
        <w:rPr>
          <w:rFonts w:hint="eastAsia" w:ascii="Times New Roman" w:hAnsi="Times New Roman" w:cs="Times New Roman"/>
          <w:szCs w:val="24"/>
        </w:rPr>
        <w:t>the country</w:t>
      </w:r>
      <w:r>
        <w:rPr>
          <w:rFonts w:ascii="Times New Roman" w:hAnsi="Times New Roman" w:cs="Times New Roman"/>
          <w:szCs w:val="24"/>
        </w:rPr>
        <w:t>’</w:t>
      </w:r>
      <w:r>
        <w:rPr>
          <w:rFonts w:hint="eastAsia" w:ascii="Times New Roman" w:hAnsi="Times New Roman" w:cs="Times New Roman"/>
          <w:szCs w:val="24"/>
        </w:rPr>
        <w:t xml:space="preserve">s </w:t>
      </w:r>
      <w:r>
        <w:rPr>
          <w:rFonts w:ascii="Times New Roman" w:hAnsi="Times New Roman" w:cs="Times New Roman"/>
          <w:szCs w:val="24"/>
        </w:rPr>
        <w:t xml:space="preserve">natural resource endowments remain severely constrained: </w:t>
      </w:r>
      <w:r>
        <w:rPr>
          <w:rFonts w:hint="eastAsia" w:ascii="Times New Roman" w:hAnsi="Times New Roman" w:cs="Times New Roman"/>
          <w:szCs w:val="24"/>
        </w:rPr>
        <w:t xml:space="preserve">although </w:t>
      </w:r>
      <w:r>
        <w:rPr>
          <w:rFonts w:ascii="Times New Roman" w:hAnsi="Times New Roman" w:cs="Times New Roman"/>
          <w:szCs w:val="24"/>
        </w:rPr>
        <w:t>China</w:t>
      </w:r>
      <w:r>
        <w:rPr>
          <w:rFonts w:hint="eastAsia" w:ascii="Times New Roman" w:hAnsi="Times New Roman" w:cs="Times New Roman"/>
          <w:szCs w:val="24"/>
        </w:rPr>
        <w:t xml:space="preserve"> accounts for</w:t>
      </w:r>
      <w:r>
        <w:rPr>
          <w:rFonts w:ascii="Times New Roman" w:hAnsi="Times New Roman" w:cs="Times New Roman"/>
          <w:szCs w:val="24"/>
        </w:rPr>
        <w:t xml:space="preserve"> only about 7% of the </w:t>
      </w:r>
      <w:r>
        <w:rPr>
          <w:rFonts w:hint="default" w:ascii="Times New Roman" w:hAnsi="Times New Roman" w:cs="Times New Roman"/>
          <w:szCs w:val="24"/>
        </w:rPr>
        <w:t>globa</w:t>
      </w:r>
      <w:r>
        <w:rPr>
          <w:rFonts w:hint="eastAsia" w:ascii="Times New Roman" w:hAnsi="Times New Roman" w:cs="Times New Roman"/>
          <w:szCs w:val="24"/>
          <w:lang w:val="en-US" w:eastAsia="zh-CN"/>
        </w:rPr>
        <w:t>l</w:t>
      </w:r>
      <w:r>
        <w:rPr>
          <w:rFonts w:ascii="Times New Roman" w:hAnsi="Times New Roman" w:cs="Times New Roman"/>
          <w:szCs w:val="24"/>
        </w:rPr>
        <w:t xml:space="preserve"> arable land, its </w:t>
      </w:r>
      <w:r>
        <w:rPr>
          <w:rFonts w:hint="eastAsia" w:ascii="Times New Roman" w:hAnsi="Times New Roman" w:cs="Times New Roman"/>
          <w:szCs w:val="24"/>
        </w:rPr>
        <w:t>large</w:t>
      </w:r>
      <w:r>
        <w:rPr>
          <w:rFonts w:ascii="Times New Roman" w:hAnsi="Times New Roman" w:cs="Times New Roman"/>
          <w:szCs w:val="24"/>
        </w:rPr>
        <w:t xml:space="preserve"> population results in per capita arable land </w:t>
      </w:r>
      <w:r>
        <w:rPr>
          <w:rFonts w:hint="eastAsia" w:ascii="Times New Roman" w:hAnsi="Times New Roman" w:cs="Times New Roman"/>
          <w:szCs w:val="24"/>
        </w:rPr>
        <w:t>area of</w:t>
      </w:r>
      <w:r>
        <w:rPr>
          <w:rFonts w:ascii="Times New Roman" w:hAnsi="Times New Roman" w:cs="Times New Roman"/>
          <w:szCs w:val="24"/>
        </w:rPr>
        <w:t xml:space="preserve"> </w:t>
      </w:r>
      <w:r>
        <w:rPr>
          <w:rFonts w:hint="default" w:ascii="Times New Roman" w:hAnsi="Times New Roman" w:cs="Times New Roman"/>
          <w:szCs w:val="24"/>
        </w:rPr>
        <w:t>merely</w:t>
      </w:r>
      <w:r>
        <w:rPr>
          <w:rFonts w:ascii="Times New Roman" w:hAnsi="Times New Roman" w:cs="Times New Roman"/>
          <w:szCs w:val="24"/>
        </w:rPr>
        <w:t xml:space="preserve"> one-third of the </w:t>
      </w:r>
      <w:r>
        <w:rPr>
          <w:rFonts w:hint="default" w:ascii="Times New Roman" w:hAnsi="Times New Roman" w:cs="Times New Roman"/>
          <w:szCs w:val="24"/>
        </w:rPr>
        <w:t>world</w:t>
      </w:r>
      <w:r>
        <w:rPr>
          <w:rFonts w:ascii="Times New Roman" w:hAnsi="Times New Roman" w:cs="Times New Roman"/>
          <w:szCs w:val="24"/>
        </w:rPr>
        <w:t xml:space="preserve"> average</w:t>
      </w:r>
      <w:r>
        <w:rPr>
          <w:rFonts w:ascii="Times New Roman" w:hAnsi="Times New Roman" w:cs="Times New Roman"/>
          <w:szCs w:val="24"/>
        </w:rPr>
        <w:fldChar w:fldCharType="begin">
          <w:fldData xml:space="preserve">PEVuZE5vdGU+PENpdGU+PEF1dGhvcj5aZW5nPC9BdXRob3I+PFllYXI+MjAyNTwvWWVhcj48UmVj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</w:fldData>
        </w:fldChar>
      </w:r>
      <w:r>
        <w:rPr>
          <w:rFonts w:ascii="Times New Roman" w:hAnsi="Times New Roman" w:cs="Times New Roman"/>
          <w:szCs w:val="24"/>
        </w:rPr>
        <w:instrText xml:space="preserve"> ADDIN EN.CITE </w:instrText>
      </w:r>
      <w:r>
        <w:rPr>
          <w:rFonts w:ascii="Times New Roman" w:hAnsi="Times New Roman" w:cs="Times New Roman"/>
          <w:szCs w:val="24"/>
        </w:rPr>
        <w:fldChar w:fldCharType="begin">
          <w:fldData xml:space="preserve">PEVuZE5vdGU+PENpdGU+PEF1dGhvcj5aZW5nPC9BdXRob3I+PFllYXI+MjAyNTwvWWVhcj48UmVj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</w:fldData>
        </w:fldChar>
      </w:r>
      <w:r>
        <w:rPr>
          <w:rFonts w:ascii="Times New Roman" w:hAnsi="Times New Roman" w:cs="Times New Roman"/>
          <w:szCs w:val="24"/>
        </w:rPr>
        <w:instrText xml:space="preserve"> ADDIN EN.CITE.DATA </w:instrText>
      </w:r>
      <w:r>
        <w:rPr>
          <w:rFonts w:ascii="Times New Roman" w:hAnsi="Times New Roman" w:cs="Times New Roman"/>
          <w:szCs w:val="24"/>
        </w:rPr>
        <w:fldChar w:fldCharType="end"/>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"_ENREF_56" \o "Zeng, 2025 #10" </w:instrText>
      </w:r>
      <w:r>
        <w:fldChar w:fldCharType="separate"/>
      </w:r>
      <w:r>
        <w:rPr>
          <w:rStyle w:val="23"/>
          <w:rFonts w:hint="eastAsia"/>
        </w:rPr>
        <w:t>Zeng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reflect</w:t>
      </w:r>
      <w:r>
        <w:rPr>
          <w:rFonts w:ascii="Times New Roman" w:hAnsi="Times New Roman" w:cs="Times New Roman"/>
          <w:szCs w:val="24"/>
        </w:rPr>
        <w:t>ing persistent land resource</w:t>
      </w:r>
      <w:r>
        <w:rPr>
          <w:rFonts w:hint="eastAsia" w:ascii="Times New Roman" w:hAnsi="Times New Roman" w:cs="Times New Roman"/>
          <w:szCs w:val="24"/>
        </w:rPr>
        <w:t>s</w:t>
      </w:r>
      <w:r>
        <w:rPr>
          <w:rFonts w:ascii="Times New Roman" w:hAnsi="Times New Roman" w:cs="Times New Roman"/>
          <w:szCs w:val="24"/>
        </w:rPr>
        <w:t xml:space="preserve">. </w:t>
      </w:r>
      <w:r>
        <w:rPr>
          <w:rFonts w:hint="eastAsia" w:ascii="Times New Roman" w:hAnsi="Times New Roman" w:cs="Times New Roman"/>
          <w:szCs w:val="24"/>
        </w:rPr>
        <w:t>Meanwhile, China’s urbanization rate has surged from 10.6% in 1949 to 67% in 2024</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&lt;EndNote&gt;&lt;Cite&gt;&lt;Author&gt;Lu&lt;/Author&gt;&lt;Year&gt;2025&lt;/Year&gt;&lt;RecNum&gt;12&lt;/RecNum&gt;&lt;DisplayText&gt; (Lu et al., 2025)&lt;/DisplayText&gt;&lt;record&gt;&lt;rec-number&gt;12&lt;/rec-number&gt;&lt;foreign-keys&gt;&lt;key app="EN" db-id="dv0v2adwc2etf1ep9tapzzz5vffpepr5wxwa" timestamp="1765088774"&gt;12&lt;/key&gt;&lt;/foreign-keys&gt;&lt;ref-type name="Journal Article"&gt;17&lt;/ref-type&gt;&lt;contributors&gt;&lt;authors&gt;&lt;author&gt;Lu, Jingyi&lt;/author&gt;&lt;author&gt;Liu, Lingna&lt;/author&gt;&lt;author&gt;Lei, Yalin&lt;/author&gt;&lt;author&gt;Wei, Jingxue&lt;/author&gt;&lt;/authors&gt;&lt;/contributors&gt;&lt;titles&gt;&lt;title&gt;Assessing the Impact of Smart City Development on Urban Resilience: An Empirical Study Based on China’s Smart City Pilot Policy&lt;/title&gt;&lt;secondary-title&gt;Sustainable Cities and Society&lt;/secondary-title&gt;&lt;/titles&gt;&lt;periodical&gt;&lt;full-title&gt;Sustainable Cities and Society&lt;/full-title&gt;&lt;/periodical&gt;&lt;pages&gt;107029&lt;/pages&gt;&lt;dates&gt;&lt;year&gt;2025&lt;/year&gt;&lt;/dates&gt;&lt;isbn&gt;2210-6707&lt;/isbn&gt;&lt;urls&gt;&lt;/urls&gt;&lt;electronic-resource-num&gt;10.1016/j.scs.2025.107029&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"_ENREF_30" \o "Lu, 2025 #12" </w:instrText>
      </w:r>
      <w:r>
        <w:fldChar w:fldCharType="separate"/>
      </w:r>
      <w:r>
        <w:rPr>
          <w:rStyle w:val="23"/>
          <w:rFonts w:hint="eastAsia"/>
        </w:rPr>
        <w:t>Lu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The rapid progression of industrialization and urbanization has led to excessive population concentration in cities and severe shortages of urban resources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&lt;EndNote&gt;&lt;Cite&gt;&lt;Author&gt;Han&lt;/Author&gt;&lt;Year&gt;2024&lt;/Year&gt;&lt;RecNum&gt;13&lt;/RecNum&gt;&lt;DisplayText&gt; (Han et al., 2024)&lt;/DisplayText&gt;&lt;record&gt;&lt;rec-number&gt;13&lt;/rec-number&gt;&lt;foreign-keys&gt;&lt;key app="EN" db-id="dv0v2adwc2etf1ep9tapzzz5vffpepr5wxwa" timestamp="1765088897"&gt;13&lt;/key&gt;&lt;/foreign-keys&gt;&lt;ref-type name="Journal Article"&gt;17&lt;/ref-type&gt;&lt;contributors&gt;&lt;authors&gt;&lt;author&gt;Han, Shan&lt;/author&gt;&lt;author&gt;Wang, Huaming&lt;/author&gt;&lt;author&gt;Ao, Yibin&lt;/author&gt;&lt;author&gt;Wang, Bo&lt;/author&gt;&lt;author&gt;Chen, Bin&lt;/author&gt;&lt;author&gt;Martek, Igor&lt;/author&gt;&lt;/authors&gt;&lt;/contributors&gt;&lt;titles&gt;&lt;title&gt;Resilient city construction efficiency and its influencing factors in China&amp;apos;s Chengdu-Chongqing Economic Circle: Considering both construction input and resilience level of the city&lt;/title&gt;&lt;secondary-title&gt;Sustainable Cities and Society&lt;/secondary-title&gt;&lt;/titles&gt;&lt;periodical&gt;&lt;full-title&gt;Sustainable Cities and Society&lt;/full-title&gt;&lt;/periodical&gt;&lt;pages&gt;105726&lt;/pages&gt;&lt;volume&gt;114&lt;/volume&gt;&lt;dates&gt;&lt;year&gt;2024&lt;/year&gt;&lt;/dates&gt;&lt;isbn&gt;2210-6707&lt;/isbn&gt;&lt;urls&gt;&lt;/urls&gt;&lt;electronic-resource-num&gt;10.1016/j.scs.2024.105726&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"_ENREF_19" \o "Han, 2024 #13" </w:instrText>
      </w:r>
      <w:r>
        <w:fldChar w:fldCharType="separate"/>
      </w:r>
      <w:r>
        <w:rPr>
          <w:rStyle w:val="23"/>
          <w:rFonts w:hint="eastAsia"/>
        </w:rPr>
        <w:t>Han et al., 2024</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exacerbating the reduction of arable land and intensifying pressures on natural resources and the environment. </w:t>
      </w:r>
      <w:r>
        <w:rPr>
          <w:rFonts w:hint="default" w:ascii="Times New Roman" w:hAnsi="Times New Roman" w:cs="Times New Roman"/>
          <w:szCs w:val="24"/>
        </w:rPr>
        <w:t>Consequently,</w:t>
      </w:r>
      <w:r>
        <w:rPr>
          <w:rFonts w:hint="eastAsia" w:ascii="Times New Roman" w:hAnsi="Times New Roman" w:cs="Times New Roman"/>
          <w:szCs w:val="24"/>
        </w:rPr>
        <w:t xml:space="preserve"> the agricultural sector </w:t>
      </w:r>
      <w:r>
        <w:rPr>
          <w:rFonts w:hint="default" w:ascii="Times New Roman" w:hAnsi="Times New Roman" w:cs="Times New Roman"/>
          <w:szCs w:val="24"/>
        </w:rPr>
        <w:t>confronts</w:t>
      </w:r>
      <w:r>
        <w:rPr>
          <w:rFonts w:hint="eastAsia" w:ascii="Times New Roman" w:hAnsi="Times New Roman" w:cs="Times New Roman"/>
          <w:szCs w:val="24"/>
        </w:rPr>
        <w:t xml:space="preserve"> a landscape </w:t>
      </w:r>
      <w:r>
        <w:rPr>
          <w:rFonts w:hint="default" w:ascii="Times New Roman" w:hAnsi="Times New Roman" w:cs="Times New Roman"/>
          <w:szCs w:val="24"/>
        </w:rPr>
        <w:t>in which</w:t>
      </w:r>
      <w:r>
        <w:rPr>
          <w:rFonts w:hint="eastAsia" w:ascii="Times New Roman" w:hAnsi="Times New Roman" w:cs="Times New Roman"/>
          <w:szCs w:val="24"/>
        </w:rPr>
        <w:t xml:space="preserve"> multiple risks increasingly intersect and compound</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&lt;EndNote&gt;&lt;Cite&gt;&lt;Author&gt;Liu&lt;/Author&gt;&lt;Year&gt;2021&lt;/Year&gt;&lt;RecNum&gt;14&lt;/RecNum&gt;&lt;DisplayText&gt; (Liu &amp;amp; Zhou, 2021; Wang et al., 2025a)&lt;/DisplayText&gt;&lt;record&gt;&lt;rec-number&gt;14&lt;/rec-number&gt;&lt;foreign-keys&gt;&lt;key app="EN" db-id="dv0v2adwc2etf1ep9tapzzz5vffpepr5wxwa" timestamp="1765088973"&gt;14&lt;/key&gt;&lt;/foreign-keys&gt;&lt;ref-type name="Journal Article"&gt;17&lt;/ref-type&gt;&lt;contributors&gt;&lt;authors&gt;&lt;author&gt;Liu, Yansui&lt;/author&gt;&lt;author&gt;Zhou, Yang&lt;/author&gt;&lt;/authors&gt;&lt;/contributors&gt;&lt;titles&gt;&lt;title&gt;Reflections on China&amp;apos;s food security and land use policy under rapid urbanization&lt;/title&gt;&lt;secondary-title&gt;Land use policy&lt;/secondary-title&gt;&lt;/titles&gt;&lt;periodical&gt;&lt;full-title&gt;Land use policy&lt;/full-title&gt;&lt;/periodical&gt;&lt;pages&gt;105699&lt;/pages&gt;&lt;volume&gt;109&lt;/volume&gt;&lt;dates&gt;&lt;year&gt;2021&lt;/year&gt;&lt;/dates&gt;&lt;isbn&gt;0264-8377&lt;/isbn&gt;&lt;urls&gt;&lt;/urls&gt;&lt;electronic-resource-num&gt;10.1016/j.landusepol.2021.105699&lt;/electronic-resource-num&gt;&lt;/record&gt;&lt;/Cite&gt;&lt;Cite&gt;&lt;Author&gt;Wang&lt;/Author&gt;&lt;Year&gt;2025&lt;/Year&gt;&lt;RecNum&gt;15&lt;/RecNum&gt;&lt;record&gt;&lt;rec-number&gt;15&lt;/rec-number&gt;&lt;foreign-keys&gt;&lt;key app="EN" db-id="dv0v2adwc2etf1ep9tapzzz5vffpepr5wxwa" timestamp="1765089036"&gt;15&lt;/key&gt;&lt;/foreign-keys&gt;&lt;ref-type name="Journal Article"&gt;17&lt;/ref-type&gt;&lt;contributors&gt;&lt;authors&gt;&lt;author&gt;Wang, Xingjia&lt;/author&gt;&lt;author&gt;Ma, Jiamin&lt;/author&gt;&lt;author&gt;Wang, Dongyan&lt;/author&gt;&lt;/authors&gt;&lt;/contributors&gt;&lt;titles&gt;&lt;title&gt;Understanding the risks of peri-urbanization to food systems to help establish sustainable agriculture near cities&lt;/title&gt;&lt;secondary-title&gt;Environmental Impact Assessment Review&lt;/secondary-title&gt;&lt;/titles&gt;&lt;periodical&gt;&lt;full-title&gt;Environmental Impact Assessment Review&lt;/full-title&gt;&lt;/periodical&gt;&lt;pages&gt;107777&lt;/pages&gt;&lt;volume&gt;112&lt;/volume&gt;&lt;dates&gt;&lt;year&gt;2025&lt;/year&gt;&lt;/dates&gt;&lt;isbn&gt;0195-9255&lt;/isbn&gt;&lt;urls&gt;&lt;/urls&gt;&lt;electronic-resource-num&gt;10.1016/j.eiar.2024.107777&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"_ENREF_29" \o "Liu, 2021 #14" </w:instrText>
      </w:r>
      <w:r>
        <w:fldChar w:fldCharType="separate"/>
      </w:r>
      <w:r>
        <w:rPr>
          <w:rStyle w:val="23"/>
          <w:rFonts w:hint="eastAsia"/>
        </w:rPr>
        <w:t>Liu &amp; Zhou, 2021</w:t>
      </w:r>
      <w:r>
        <w:rPr>
          <w:rStyle w:val="23"/>
          <w:rFonts w:hint="eastAsia"/>
        </w:rPr>
        <w:fldChar w:fldCharType="end"/>
      </w:r>
      <w:r>
        <w:rPr>
          <w:rFonts w:ascii="Times New Roman" w:hAnsi="Times New Roman" w:cs="Times New Roman"/>
          <w:szCs w:val="24"/>
        </w:rPr>
        <w:t xml:space="preserve">; </w:t>
      </w:r>
      <w:r>
        <w:fldChar w:fldCharType="begin"/>
      </w:r>
      <w:r>
        <w:instrText xml:space="preserve"> HYPERLINK \l "_ENREF_48" \o "Wang, 2025 #15" </w:instrText>
      </w:r>
      <w:r>
        <w:fldChar w:fldCharType="separate"/>
      </w:r>
      <w:r>
        <w:rPr>
          <w:rStyle w:val="23"/>
          <w:rFonts w:hint="eastAsia"/>
        </w:rPr>
        <w:t>Wang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 xml:space="preserve">In response, the Central Committee of the Communist Party of China and the State Council issued the Plan for Accelerating the Construction of an Agricultural Power (2024–2035) in 2025, </w:t>
      </w:r>
      <w:r>
        <w:rPr>
          <w:rFonts w:hint="eastAsia" w:ascii="Times New Roman" w:hAnsi="Times New Roman" w:cs="Times New Roman"/>
          <w:szCs w:val="24"/>
        </w:rPr>
        <w:t>underscor</w:t>
      </w:r>
      <w:r>
        <w:rPr>
          <w:rFonts w:ascii="Times New Roman" w:hAnsi="Times New Roman" w:cs="Times New Roman"/>
          <w:szCs w:val="24"/>
        </w:rPr>
        <w:t xml:space="preserve">ing that building a </w:t>
      </w:r>
      <w:r>
        <w:rPr>
          <w:rFonts w:hint="eastAsia" w:ascii="Times New Roman" w:hAnsi="Times New Roman" w:cs="Times New Roman"/>
          <w:szCs w:val="24"/>
        </w:rPr>
        <w:t>robust</w:t>
      </w:r>
      <w:r>
        <w:rPr>
          <w:rFonts w:ascii="Times New Roman" w:hAnsi="Times New Roman" w:cs="Times New Roman"/>
          <w:szCs w:val="24"/>
        </w:rPr>
        <w:t xml:space="preserve"> agricultural sector </w:t>
      </w:r>
      <w:r>
        <w:rPr>
          <w:rFonts w:hint="eastAsia" w:ascii="Times New Roman" w:hAnsi="Times New Roman" w:cs="Times New Roman"/>
          <w:szCs w:val="24"/>
          <w:lang w:val="en-US" w:eastAsia="zh-CN"/>
        </w:rPr>
        <w:t>i</w:t>
      </w:r>
      <w:r>
        <w:rPr>
          <w:rFonts w:ascii="Times New Roman" w:hAnsi="Times New Roman" w:cs="Times New Roman"/>
          <w:szCs w:val="24"/>
        </w:rPr>
        <w:t xml:space="preserve">s a cornerstone of socialist modernization and that agricultural economic resilience is </w:t>
      </w:r>
      <w:r>
        <w:rPr>
          <w:rFonts w:hint="eastAsia" w:ascii="Times New Roman" w:hAnsi="Times New Roman" w:cs="Times New Roman"/>
          <w:szCs w:val="24"/>
        </w:rPr>
        <w:t>essential</w:t>
      </w:r>
      <w:r>
        <w:rPr>
          <w:rFonts w:ascii="Times New Roman" w:hAnsi="Times New Roman" w:cs="Times New Roman"/>
          <w:szCs w:val="24"/>
        </w:rPr>
        <w:t xml:space="preserve"> for sustainable development, food security, and </w:t>
      </w:r>
      <w:r>
        <w:rPr>
          <w:rFonts w:hint="default" w:ascii="Times New Roman" w:hAnsi="Times New Roman" w:cs="Times New Roman"/>
          <w:szCs w:val="24"/>
        </w:rPr>
        <w:t>effective responses</w:t>
      </w:r>
      <w:r>
        <w:rPr>
          <w:rFonts w:hint="eastAsia" w:ascii="Times New Roman" w:hAnsi="Times New Roman" w:cs="Times New Roman"/>
          <w:szCs w:val="24"/>
        </w:rPr>
        <w:t xml:space="preserve"> to</w:t>
      </w:r>
      <w:r>
        <w:rPr>
          <w:rFonts w:ascii="Times New Roman" w:hAnsi="Times New Roman" w:cs="Times New Roman"/>
          <w:szCs w:val="24"/>
        </w:rPr>
        <w:t xml:space="preserve"> global challenges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&lt;EndNote&gt;&lt;Cite&gt;&lt;Author&gt;Qian&lt;/Author&gt;&lt;Year&gt;2025&lt;/Year&gt;&lt;RecNum&gt;16&lt;/RecNum&gt;&lt;DisplayText&gt; (Qian et al., 2025)&lt;/DisplayText&gt;&lt;record&gt;&lt;rec-number&gt;16&lt;/rec-number&gt;&lt;foreign-keys&gt;&lt;key app="EN" db-id="dv0v2adwc2etf1ep9tapzzz5vffpepr5wxwa" timestamp="1765089458"&gt;16&lt;/key&gt;&lt;/foreign-keys&gt;&lt;ref-type name="Journal Article"&gt;17&lt;/ref-type&gt;&lt;contributors&gt;&lt;authors&gt;&lt;author&gt;Qian, Huang&lt;/author&gt;&lt;author&gt;Du, Peng&lt;/author&gt;&lt;author&gt;Xu, Lingli&lt;/author&gt;&lt;author&gt;Yu, Siming&lt;/author&gt;&lt;/authors&gt;&lt;/contributors&gt;&lt;titles&gt;&lt;title&gt;Can the involvement of firms in rural revitalization advance the area’s agricultural and rural modernization level?&lt;/title&gt;&lt;secondary-title&gt;Finance Research Letters&lt;/secondary-title&gt;&lt;/titles&gt;&lt;periodical&gt;&lt;full-title&gt;Finance Research Letters&lt;/full-title&gt;&lt;/periodical&gt;&lt;pages&gt;e108280&lt;/pages&gt;&lt;dates&gt;&lt;year&gt;2025&lt;/year&gt;&lt;/dates&gt;&lt;isbn&gt;1544-6123&lt;/isbn&gt;&lt;urls&gt;&lt;/urls&gt;&lt;electronic-resource-num&gt;10.1016/j.frl.2025.108280&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"_ENREF_35" \o "Qian, 2025 #16" </w:instrText>
      </w:r>
      <w:r>
        <w:fldChar w:fldCharType="separate"/>
      </w:r>
      <w:r>
        <w:rPr>
          <w:rStyle w:val="23"/>
          <w:rFonts w:hint="eastAsia"/>
        </w:rPr>
        <w:t>Qian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 xml:space="preserve">Supported by technological </w:t>
      </w:r>
      <w:r>
        <w:rPr>
          <w:rFonts w:hint="eastAsia" w:ascii="Times New Roman" w:hAnsi="Times New Roman" w:cs="Times New Roman"/>
          <w:szCs w:val="24"/>
        </w:rPr>
        <w:t>progress</w:t>
      </w:r>
      <w:r>
        <w:rPr>
          <w:rFonts w:ascii="Times New Roman" w:hAnsi="Times New Roman" w:cs="Times New Roman"/>
          <w:szCs w:val="24"/>
        </w:rPr>
        <w:t xml:space="preserve"> and institutional reforms, China has </w:t>
      </w:r>
      <w:r>
        <w:rPr>
          <w:rFonts w:hint="default" w:ascii="Times New Roman" w:hAnsi="Times New Roman" w:cs="Times New Roman"/>
          <w:szCs w:val="24"/>
        </w:rPr>
        <w:t>maintained a generally</w:t>
      </w:r>
      <w:r>
        <w:rPr>
          <w:rFonts w:ascii="Times New Roman" w:hAnsi="Times New Roman" w:cs="Times New Roman"/>
          <w:szCs w:val="24"/>
        </w:rPr>
        <w:t xml:space="preserve"> stab</w:t>
      </w:r>
      <w:r>
        <w:rPr>
          <w:rFonts w:hint="eastAsia" w:ascii="Times New Roman" w:hAnsi="Times New Roman" w:cs="Times New Roman"/>
          <w:szCs w:val="24"/>
        </w:rPr>
        <w:t xml:space="preserve">le </w:t>
      </w:r>
      <w:r>
        <w:rPr>
          <w:rFonts w:ascii="Times New Roman" w:hAnsi="Times New Roman" w:cs="Times New Roman"/>
          <w:szCs w:val="24"/>
        </w:rPr>
        <w:t>food supply despite</w:t>
      </w:r>
      <w:r>
        <w:rPr>
          <w:rFonts w:hint="eastAsia" w:ascii="Times New Roman" w:hAnsi="Times New Roman" w:cs="Times New Roman"/>
          <w:szCs w:val="24"/>
        </w:rPr>
        <w:t xml:space="preserve"> </w:t>
      </w:r>
      <w:r>
        <w:rPr>
          <w:rFonts w:ascii="Times New Roman" w:hAnsi="Times New Roman" w:cs="Times New Roman"/>
          <w:szCs w:val="24"/>
        </w:rPr>
        <w:t>resource</w:t>
      </w:r>
      <w:r>
        <w:rPr>
          <w:rFonts w:hint="eastAsia" w:ascii="Times New Roman" w:hAnsi="Times New Roman" w:cs="Times New Roman"/>
          <w:szCs w:val="24"/>
        </w:rPr>
        <w:t xml:space="preserve"> limitations</w:t>
      </w:r>
      <w:r>
        <w:rPr>
          <w:rFonts w:ascii="Times New Roman" w:hAnsi="Times New Roman" w:cs="Times New Roman"/>
          <w:szCs w:val="24"/>
        </w:rPr>
        <w:fldChar w:fldCharType="begin">
          <w:fldData xml:space="preserve">PEVuZE5vdGU+PENpdGU+PEF1dGhvcj5aZW5nPC9BdXRob3I+PFllYXI+MjAyNTwvWWVhcj48UmVj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</w:fldData>
        </w:fldChar>
      </w:r>
      <w:r>
        <w:rPr>
          <w:rFonts w:ascii="Times New Roman" w:hAnsi="Times New Roman" w:cs="Times New Roman"/>
          <w:szCs w:val="24"/>
        </w:rPr>
        <w:instrText xml:space="preserve"> ADDIN EN.CITE </w:instrText>
      </w:r>
      <w:r>
        <w:rPr>
          <w:rFonts w:ascii="Times New Roman" w:hAnsi="Times New Roman" w:cs="Times New Roman"/>
          <w:szCs w:val="24"/>
        </w:rPr>
        <w:fldChar w:fldCharType="begin">
          <w:fldData xml:space="preserve">PEVuZE5vdGU+PENpdGU+PEF1dGhvcj5aZW5nPC9BdXRob3I+PFllYXI+MjAyNTwvWWVhcj48UmVj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</w:fldData>
        </w:fldChar>
      </w:r>
      <w:r>
        <w:rPr>
          <w:rFonts w:ascii="Times New Roman" w:hAnsi="Times New Roman" w:cs="Times New Roman"/>
          <w:szCs w:val="24"/>
        </w:rPr>
        <w:instrText xml:space="preserve"> ADDIN EN.CITE.DATA </w:instrText>
      </w:r>
      <w:r>
        <w:rPr>
          <w:rFonts w:ascii="Times New Roman" w:hAnsi="Times New Roman" w:cs="Times New Roman"/>
          <w:szCs w:val="24"/>
        </w:rPr>
        <w:fldChar w:fldCharType="end"/>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"_ENREF_56" \o "Zeng, 2025 #10" </w:instrText>
      </w:r>
      <w:r>
        <w:fldChar w:fldCharType="separate"/>
      </w:r>
      <w:r>
        <w:rPr>
          <w:rStyle w:val="23"/>
          <w:rFonts w:hint="eastAsia"/>
        </w:rPr>
        <w:t>Zeng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bookmarkStart w:id="2" w:name="_Hlk204421308"/>
      <w:r>
        <w:rPr>
          <w:rFonts w:ascii="Times New Roman" w:hAnsi="Times New Roman" w:cs="Times New Roman"/>
          <w:szCs w:val="24"/>
        </w:rPr>
        <w:t xml:space="preserve">However, </w:t>
      </w:r>
      <w:r>
        <w:rPr>
          <w:rFonts w:hint="default" w:ascii="Times New Roman" w:hAnsi="Times New Roman" w:cs="Times New Roman"/>
          <w:szCs w:val="24"/>
        </w:rPr>
        <w:t>persistent</w:t>
      </w:r>
      <w:r>
        <w:rPr>
          <w:rFonts w:ascii="Times New Roman" w:hAnsi="Times New Roman" w:cs="Times New Roman"/>
          <w:szCs w:val="24"/>
        </w:rPr>
        <w:t xml:space="preserve"> global uncertainties and the</w:t>
      </w:r>
      <w:r>
        <w:rPr>
          <w:rFonts w:hint="eastAsia" w:ascii="Times New Roman" w:hAnsi="Times New Roman" w:cs="Times New Roman"/>
          <w:szCs w:val="24"/>
        </w:rPr>
        <w:t xml:space="preserve"> rising </w:t>
      </w:r>
      <w:r>
        <w:rPr>
          <w:rFonts w:hint="default" w:ascii="Times New Roman" w:hAnsi="Times New Roman" w:cs="Times New Roman"/>
          <w:szCs w:val="24"/>
        </w:rPr>
        <w:t xml:space="preserve">frequency </w:t>
      </w:r>
      <w:r>
        <w:rPr>
          <w:rFonts w:ascii="Times New Roman" w:hAnsi="Times New Roman" w:cs="Times New Roman"/>
          <w:szCs w:val="24"/>
        </w:rPr>
        <w:t xml:space="preserve">of “black swan” and “gray rhino” events have </w:t>
      </w:r>
      <w:r>
        <w:rPr>
          <w:rFonts w:hint="eastAsia" w:ascii="Times New Roman" w:hAnsi="Times New Roman" w:cs="Times New Roman"/>
          <w:szCs w:val="24"/>
        </w:rPr>
        <w:t>heighten</w:t>
      </w:r>
      <w:r>
        <w:rPr>
          <w:rFonts w:ascii="Times New Roman" w:hAnsi="Times New Roman" w:cs="Times New Roman"/>
          <w:szCs w:val="24"/>
        </w:rPr>
        <w:t>ed the agricultural system’</w:t>
      </w:r>
      <w:r>
        <w:rPr>
          <w:rFonts w:hint="eastAsia" w:ascii="Times New Roman" w:hAnsi="Times New Roman" w:cs="Times New Roman"/>
          <w:szCs w:val="24"/>
        </w:rPr>
        <w:t xml:space="preserve">s exposure </w:t>
      </w:r>
      <w:r>
        <w:rPr>
          <w:rFonts w:ascii="Times New Roman" w:hAnsi="Times New Roman" w:cs="Times New Roman"/>
          <w:szCs w:val="24"/>
        </w:rPr>
        <w:t>to external shocks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&lt;EndNote&gt;&lt;Cite&gt;&lt;Author&gt;Xiao&lt;/Author&gt;&lt;Year&gt;2025&lt;/Year&gt;&lt;RecNum&gt;17&lt;/RecNum&gt;&lt;DisplayText&gt; (Xiao et al., 2025)&lt;/DisplayText&gt;&lt;record&gt;&lt;rec-number&gt;17&lt;/rec-number&gt;&lt;foreign-keys&gt;&lt;key app="EN" db-id="dv0v2adwc2etf1ep9tapzzz5vffpepr5wxwa" timestamp="1765090628"&gt;17&lt;/key&gt;&lt;/foreign-keys&gt;&lt;ref-type name="Journal Article"&gt;17&lt;/ref-type&gt;&lt;contributors&gt;&lt;authors&gt;&lt;author&gt;Xiao, Y.&lt;/author&gt;&lt;author&gt;Zhao, J.&lt;/author&gt;&lt;author&gt;Zhang, Y.&lt;/author&gt;&lt;author&gt;Wang, S.&lt;/author&gt;&lt;/authors&gt;&lt;/contributors&gt;&lt;auth-address&gt;Department of Science and Technology Research, Jinan University, 855 Xingye E. Ave., Guangzhou 510632, China.&amp;#xD;Jinan University-University of Birmingham Joint Institute, Jinan University, 855 Xingye E. Ave., Guangzhou 511436, China.&amp;#xD;School of Economics, Jinan University, 601 W. Huangpu Ave., Guangzhou 510632, China.&lt;/auth-address&gt;&lt;titles&gt;&lt;title&gt;Grain Self-Sufficiency in Guangdong, China: Current Trends and Future Perspectives&lt;/title&gt;&lt;secondary-title&gt;Foods&lt;/secondary-title&gt;&lt;/titles&gt;&lt;periodical&gt;&lt;full-title&gt;Foods&lt;/full-title&gt;&lt;/periodical&gt;&lt;volume&gt;14&lt;/volume&gt;&lt;number&gt;7&lt;/number&gt;&lt;edition&gt;20250325&lt;/edition&gt;&lt;keywords&gt;&lt;keyword&gt;China&lt;/keyword&gt;&lt;keyword&gt;food security&lt;/keyword&gt;&lt;keyword&gt;grain self-sufficiency&lt;/keyword&gt;&lt;/keywords&gt;&lt;dates&gt;&lt;year&gt;2025&lt;/year&gt;&lt;pub-dates&gt;&lt;date&gt;Mar 25&lt;/date&gt;&lt;/pub-dates&gt;&lt;/dates&gt;&lt;isbn&gt;2304-8158 (Print)&amp;#xD;2304-8158 (Electronic)&amp;#xD;2304-8158 (Linking)&lt;/isbn&gt;&lt;accession-num&gt;40238248&lt;/accession-num&gt;&lt;urls&gt;&lt;related-urls&gt;&lt;url&gt;https://www.ncbi.nlm.nih.gov/pubmed/40238248&lt;/url&gt;&lt;/related-urls&gt;&lt;/urls&gt;&lt;custom1&gt;The authors declare no conflicts of interest.&lt;/custom1&gt;&lt;custom2&gt;PMC11989165&lt;/custom2&gt;&lt;electronic-resource-num&gt;10.3390/foods14071126&lt;/electronic-resource-num&gt;&lt;remote-database-name&gt;PubMed-not-MEDLINE&lt;/remote-database-name&gt;&lt;remote-database-provider&gt;NLM&lt;/remote-database-provider&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"_ENREF_51" \o "Xiao, 2025 #17" </w:instrText>
      </w:r>
      <w:r>
        <w:fldChar w:fldCharType="separate"/>
      </w:r>
      <w:r>
        <w:rPr>
          <w:rStyle w:val="23"/>
          <w:rFonts w:hint="eastAsia"/>
        </w:rPr>
        <w:t>Xiao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bookmarkEnd w:id="2"/>
      <w:r>
        <w:rPr>
          <w:rFonts w:ascii="Times New Roman" w:hAnsi="Times New Roman" w:cs="Times New Roman"/>
          <w:szCs w:val="24"/>
        </w:rPr>
        <w:t>Strengthening</w:t>
      </w:r>
      <w:r>
        <w:rPr>
          <w:rFonts w:hint="eastAsia" w:ascii="Times New Roman" w:hAnsi="Times New Roman" w:cs="Times New Roman"/>
          <w:szCs w:val="24"/>
        </w:rPr>
        <w:t xml:space="preserve"> </w:t>
      </w:r>
      <w:r>
        <w:rPr>
          <w:rFonts w:ascii="Times New Roman" w:hAnsi="Times New Roman" w:cs="Times New Roman"/>
          <w:szCs w:val="24"/>
        </w:rPr>
        <w:t xml:space="preserve">systemic resilience and </w:t>
      </w:r>
      <w:r>
        <w:rPr>
          <w:rFonts w:hint="eastAsia" w:ascii="Times New Roman" w:hAnsi="Times New Roman" w:cs="Times New Roman"/>
          <w:szCs w:val="24"/>
        </w:rPr>
        <w:t>advanc</w:t>
      </w:r>
      <w:r>
        <w:rPr>
          <w:rFonts w:ascii="Times New Roman" w:hAnsi="Times New Roman" w:cs="Times New Roman"/>
          <w:szCs w:val="24"/>
        </w:rPr>
        <w:t>ing sustainable agricultural development hav</w:t>
      </w:r>
      <w:r>
        <w:rPr>
          <w:rFonts w:hint="eastAsia" w:ascii="Times New Roman" w:hAnsi="Times New Roman" w:cs="Times New Roman"/>
          <w:szCs w:val="24"/>
        </w:rPr>
        <w:t>e t</w:t>
      </w:r>
      <w:r>
        <w:rPr>
          <w:rFonts w:hint="default" w:ascii="Times New Roman" w:hAnsi="Times New Roman" w:cs="Times New Roman"/>
          <w:szCs w:val="24"/>
        </w:rPr>
        <w:t>hus</w:t>
      </w:r>
      <w:r>
        <w:rPr>
          <w:rFonts w:hint="eastAsia" w:ascii="Times New Roman" w:hAnsi="Times New Roman" w:cs="Times New Roman"/>
          <w:szCs w:val="24"/>
        </w:rPr>
        <w:t xml:space="preserve"> be</w:t>
      </w:r>
      <w:r>
        <w:rPr>
          <w:rFonts w:ascii="Times New Roman" w:hAnsi="Times New Roman" w:cs="Times New Roman"/>
          <w:szCs w:val="24"/>
        </w:rPr>
        <w:t xml:space="preserve">come </w:t>
      </w:r>
      <w:r>
        <w:rPr>
          <w:rFonts w:hint="eastAsia" w:ascii="Times New Roman" w:hAnsi="Times New Roman" w:cs="Times New Roman"/>
          <w:szCs w:val="24"/>
        </w:rPr>
        <w:t xml:space="preserve">vital </w:t>
      </w:r>
      <w:r>
        <w:rPr>
          <w:rFonts w:ascii="Times New Roman" w:hAnsi="Times New Roman" w:cs="Times New Roman"/>
          <w:szCs w:val="24"/>
        </w:rPr>
        <w:t>pathways for implementing the agricultural power strategy and safeguarding national food security</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&lt;EndNote&gt;&lt;Cite&gt;&lt;Author&gt;Yang&lt;/Author&gt;&lt;Year&gt;2025&lt;/Year&gt;&lt;RecNum&gt;18&lt;/RecNum&gt;&lt;DisplayText&gt; (Yang et al., 2025a)&lt;/DisplayText&gt;&lt;record&gt;&lt;rec-number&gt;18&lt;/rec-number&gt;&lt;foreign-keys&gt;&lt;key app="EN" db-id="dv0v2adwc2etf1ep9tapzzz5vffpepr5wxwa" timestamp="1765090721"&gt;18&lt;/key&gt;&lt;/foreign-keys&gt;&lt;ref-type name="Journal Article"&gt;17&lt;/ref-type&gt;&lt;contributors&gt;&lt;authors&gt;&lt;author&gt;Yang, Yuzhen&lt;/author&gt;&lt;author&gt;Feng, Pengfei&lt;/author&gt;&lt;author&gt;Guo, Jin&lt;/author&gt;&lt;/authors&gt;&lt;/contributors&gt;&lt;titles&gt;&lt;title&gt;How does agricultural resilience in China vary by region?&lt;/title&gt;&lt;secondary-title&gt;Ecological Indicators&lt;/secondary-title&gt;&lt;/titles&gt;&lt;periodical&gt;&lt;full-title&gt;Ecological Indicators&lt;/full-title&gt;&lt;/periodical&gt;&lt;volume&gt;174&lt;/volume&gt;&lt;section&gt;113513&lt;/section&gt;&lt;dates&gt;&lt;year&gt;2025&lt;/year&gt;&lt;/dates&gt;&lt;isbn&gt;1470160X&lt;/isbn&gt;&lt;urls&gt;&lt;/urls&gt;&lt;electronic-resource-num&gt;10.1016/j.ecolind.2025.113513&lt;/electronic-resource-num&gt;&lt;/record&gt;&lt;/Cite&gt;&lt;/EndNote&gt;</w:instrText>
      </w:r>
      <w:r>
        <w:rPr>
          <w:rFonts w:ascii="Times New Roman" w:hAnsi="Times New Roman" w:cs="Times New Roman"/>
          <w:szCs w:val="24"/>
        </w:rPr>
        <w:fldChar w:fldCharType="separate"/>
      </w:r>
      <w:r>
        <w:rPr>
          <w:rFonts w:ascii="Times New Roman" w:hAnsi="Times New Roman" w:cs="Times New Roman"/>
          <w:szCs w:val="24"/>
        </w:rPr>
        <w:fldChar w:fldCharType="end"/>
      </w:r>
      <w:r>
        <w:rPr>
          <w:rFonts w:hint="eastAsia" w:ascii="Times New Roman" w:hAnsi="Times New Roman" w:cs="Times New Roman"/>
          <w:szCs w:val="24"/>
        </w:rPr>
        <w:t xml:space="preserve">. </w:t>
      </w:r>
    </w:p>
    <w:bookmarkEnd w:id="0"/>
    <w:p w14:paraId="74971E84">
      <w:pPr>
        <w:spacing w:line="480" w:lineRule="auto"/>
        <w:ind w:firstLine="420" w:firstLineChars="200"/>
        <w:rPr>
          <w:rFonts w:ascii="Times New Roman" w:hAnsi="Times New Roman" w:cs="Times New Roman"/>
          <w:szCs w:val="24"/>
        </w:rPr>
      </w:pPr>
      <w:bookmarkStart w:id="3" w:name="OLE_LINK8"/>
      <w:r>
        <w:rPr>
          <w:rFonts w:ascii="Times New Roman" w:hAnsi="Times New Roman" w:cs="Times New Roman"/>
          <w:szCs w:val="24"/>
        </w:rPr>
        <w:t>Urbanization refers to the spatial and socioeconomic transition where</w:t>
      </w:r>
      <w:r>
        <w:rPr>
          <w:rFonts w:hint="eastAsia" w:ascii="Times New Roman" w:hAnsi="Times New Roman" w:cs="Times New Roman"/>
          <w:szCs w:val="24"/>
        </w:rPr>
        <w:t xml:space="preserve">by </w:t>
      </w:r>
      <w:r>
        <w:rPr>
          <w:rFonts w:ascii="Times New Roman" w:hAnsi="Times New Roman" w:cs="Times New Roman"/>
          <w:szCs w:val="24"/>
        </w:rPr>
        <w:t>population</w:t>
      </w:r>
      <w:r>
        <w:rPr>
          <w:rFonts w:hint="eastAsia" w:ascii="Times New Roman" w:hAnsi="Times New Roman" w:cs="Times New Roman"/>
          <w:szCs w:val="24"/>
        </w:rPr>
        <w:t>s</w:t>
      </w:r>
      <w:r>
        <w:rPr>
          <w:rFonts w:ascii="Times New Roman" w:hAnsi="Times New Roman" w:cs="Times New Roman"/>
          <w:szCs w:val="24"/>
        </w:rPr>
        <w:t>, economic activities, and resources shift from rural to urban areas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&lt;EndNote&gt;&lt;Cite&gt;&lt;Author&gt;Poumanyvong&lt;/Author&gt;&lt;Year&gt;2010&lt;/Year&gt;&lt;RecNum&gt;19&lt;/RecNum&gt;&lt;DisplayText&gt; (Poumanyvong &amp;amp; Kaneko, 2010)&lt;/DisplayText&gt;&lt;record&gt;&lt;rec-number&gt;19&lt;/rec-number&gt;&lt;foreign-keys&gt;&lt;key app="EN" db-id="dv0v2adwc2etf1ep9tapzzz5vffpepr5wxwa" timestamp="1765090776"&gt;19&lt;/key&gt;&lt;/foreign-keys&gt;&lt;ref-type name="Journal Article"&gt;17&lt;/ref-type&gt;&lt;contributors&gt;&lt;authors&gt;&lt;author&gt;Poumanyvong, Phetkeo&lt;/author&gt;&lt;author&gt;Kaneko, Shinji&lt;/author&gt;&lt;/authors&gt;&lt;/contributors&gt;&lt;titles&gt;&lt;title&gt;Does urbanization lead to less energy use and lower CO2 emissions? A cross-country analysis&lt;/title&gt;&lt;secondary-title&gt;Ecological Economics&lt;/secondary-title&gt;&lt;/titles&gt;&lt;periodical&gt;&lt;full-title&gt;Ecological Economics&lt;/full-title&gt;&lt;/periodical&gt;&lt;pages&gt;434-444&lt;/pages&gt;&lt;volume&gt;70&lt;/volume&gt;&lt;number&gt;2&lt;/number&gt;&lt;section&gt;434&lt;/section&gt;&lt;dates&gt;&lt;year&gt;2010&lt;/year&gt;&lt;/dates&gt;&lt;isbn&gt;09218009&lt;/isbn&gt;&lt;urls&gt;&lt;/urls&gt;&lt;electronic-resource-num&gt;10.1016/j.ecolecon.2010.09.029&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"_ENREF_33" \o "Poumanyvong, 2010 #19" </w:instrText>
      </w:r>
      <w:r>
        <w:fldChar w:fldCharType="separate"/>
      </w:r>
      <w:r>
        <w:rPr>
          <w:rStyle w:val="23"/>
          <w:rFonts w:hint="eastAsia"/>
        </w:rPr>
        <w:t>Poumanyvong &amp; Kaneko, 2010</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This transition</w:t>
      </w:r>
      <w:r>
        <w:rPr>
          <w:rFonts w:hint="eastAsia" w:ascii="Times New Roman" w:hAnsi="Times New Roman" w:cs="Times New Roman"/>
          <w:szCs w:val="24"/>
        </w:rPr>
        <w:t xml:space="preserve"> involves</w:t>
      </w:r>
      <w:r>
        <w:rPr>
          <w:rFonts w:ascii="Times New Roman" w:hAnsi="Times New Roman" w:cs="Times New Roman"/>
          <w:szCs w:val="24"/>
        </w:rPr>
        <w:t xml:space="preserve"> transformations in demographic structure, social organization, and ecological conditions, exert</w:t>
      </w:r>
      <w:r>
        <w:rPr>
          <w:rFonts w:hint="eastAsia" w:ascii="Times New Roman" w:hAnsi="Times New Roman" w:cs="Times New Roman"/>
          <w:szCs w:val="24"/>
        </w:rPr>
        <w:t>ing</w:t>
      </w:r>
      <w:r>
        <w:rPr>
          <w:rFonts w:ascii="Times New Roman" w:hAnsi="Times New Roman" w:cs="Times New Roman"/>
          <w:szCs w:val="24"/>
        </w:rPr>
        <w:t xml:space="preserve"> profound </w:t>
      </w:r>
      <w:r>
        <w:rPr>
          <w:rFonts w:hint="eastAsia" w:ascii="Times New Roman" w:hAnsi="Times New Roman" w:cs="Times New Roman"/>
          <w:szCs w:val="24"/>
        </w:rPr>
        <w:t>effect</w:t>
      </w:r>
      <w:r>
        <w:rPr>
          <w:rFonts w:ascii="Times New Roman" w:hAnsi="Times New Roman" w:cs="Times New Roman"/>
          <w:szCs w:val="24"/>
        </w:rPr>
        <w:t>s on agricultural sustainability</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&lt;EndNote&gt;&lt;Cite&gt;&lt;Author&gt;Beckers&lt;/Author&gt;&lt;Year&gt;2020&lt;/Year&gt;&lt;RecNum&gt;20&lt;/RecNum&gt;&lt;DisplayText&gt; (Beckers et al., 2020; Wang et al., 2021)&lt;/DisplayText&gt;&lt;record&gt;&lt;rec-number&gt;20&lt;/rec-number&gt;&lt;foreign-keys&gt;&lt;key app="EN" db-id="dv0v2adwc2etf1ep9tapzzz5vffpepr5wxwa" timestamp="1765090932"&gt;20&lt;/key&gt;&lt;/foreign-keys&gt;&lt;ref-type name="Journal Article"&gt;17&lt;/ref-type&gt;&lt;contributors&gt;&lt;authors&gt;&lt;author&gt;Beckers, Veronique&lt;/author&gt;&lt;author&gt;Poelmans, L.&lt;/author&gt;&lt;author&gt;Van Rompaey, A.&lt;/author&gt;&lt;author&gt;Dendoncker, N.&lt;/author&gt;&lt;/authors&gt;&lt;/contributors&gt;&lt;titles&gt;&lt;title&gt;The impact of urbanization on agricultural dynamics: a case study in Belgium&lt;/title&gt;&lt;secondary-title&gt;Journal of Land Use Science&lt;/secondary-title&gt;&lt;/titles&gt;&lt;periodical&gt;&lt;full-title&gt;Journal of Land Use Science&lt;/full-title&gt;&lt;/periodical&gt;&lt;pages&gt;626-643&lt;/pages&gt;&lt;volume&gt;15&lt;/volume&gt;&lt;number&gt;5&lt;/number&gt;&lt;section&gt;626&lt;/section&gt;&lt;dates&gt;&lt;year&gt;2020&lt;/year&gt;&lt;/dates&gt;&lt;isbn&gt;1747-423X&amp;#xD;1747-4248&lt;/isbn&gt;&lt;urls&gt;&lt;/urls&gt;&lt;electronic-resource-num&gt;10.1080/1747423x.2020.1769211&lt;/electronic-resource-num&gt;&lt;/record&gt;&lt;/Cite&gt;&lt;Cite&gt;&lt;Author&gt;Wang&lt;/Author&gt;&lt;Year&gt;2021&lt;/Year&gt;&lt;RecNum&gt;21&lt;/RecNum&gt;&lt;record&gt;&lt;rec-number&gt;21&lt;/rec-number&gt;&lt;foreign-keys&gt;&lt;key app="EN" db-id="dv0v2adwc2etf1ep9tapzzz5vffpepr5wxwa" timestamp="1765090938"&gt;21&lt;/key&gt;&lt;/foreign-keys&gt;&lt;ref-type name="Journal Article"&gt;17&lt;/ref-type&gt;&lt;contributors&gt;&lt;authors&gt;&lt;author&gt;Wang, Sitong&lt;/author&gt;&lt;author&gt;Bai, Xuemei&lt;/author&gt;&lt;author&gt;Zhang, Xiaoling&lt;/author&gt;&lt;author&gt;Reis, Stefan&lt;/author&gt;&lt;author&gt;Chen, Deli&lt;/author&gt;&lt;author&gt;Xu, Jianming&lt;/author&gt;&lt;author&gt;Gu, Baojing&lt;/author&gt;&lt;/authors&gt;&lt;/contributors&gt;&lt;titles&gt;&lt;title&gt;Urbanization can benefit agricultural production with large-scale farming in China&lt;/title&gt;&lt;secondary-title&gt;Nature Food&lt;/secondary-title&gt;&lt;/titles&gt;&lt;periodical&gt;&lt;full-title&gt;Nature Food&lt;/full-title&gt;&lt;/periodical&gt;&lt;pages&gt;183-191&lt;/pages&gt;&lt;volume&gt;2&lt;/volume&gt;&lt;number&gt;3&lt;/number&gt;&lt;dates&gt;&lt;year&gt;2021&lt;/year&gt;&lt;/dates&gt;&lt;isbn&gt;2662-1355&lt;/isbn&gt;&lt;urls&gt;&lt;/urls&gt;&lt;electronic-resource-num&gt;10.1038/s43016-021-00228-6&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"_ENREF_3" \o "Beckers, 2020 #20" </w:instrText>
      </w:r>
      <w:r>
        <w:fldChar w:fldCharType="separate"/>
      </w:r>
      <w:r>
        <w:rPr>
          <w:rStyle w:val="23"/>
          <w:rFonts w:hint="eastAsia"/>
        </w:rPr>
        <w:t>Beckers et al., 2020</w:t>
      </w:r>
      <w:r>
        <w:rPr>
          <w:rStyle w:val="23"/>
          <w:rFonts w:hint="eastAsia"/>
        </w:rPr>
        <w:fldChar w:fldCharType="end"/>
      </w:r>
      <w:r>
        <w:rPr>
          <w:rFonts w:ascii="Times New Roman" w:hAnsi="Times New Roman" w:cs="Times New Roman"/>
          <w:szCs w:val="24"/>
        </w:rPr>
        <w:t xml:space="preserve">; </w:t>
      </w:r>
      <w:r>
        <w:fldChar w:fldCharType="begin"/>
      </w:r>
      <w:r>
        <w:instrText xml:space="preserve"> HYPERLINK \l "_ENREF_47" \o "Wang, 2021 #21" </w:instrText>
      </w:r>
      <w:r>
        <w:fldChar w:fldCharType="separate"/>
      </w:r>
      <w:r>
        <w:rPr>
          <w:rStyle w:val="23"/>
          <w:rFonts w:hint="eastAsia"/>
        </w:rPr>
        <w:t>Wang et al., 2021</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Historically,</w:t>
      </w:r>
      <w:r>
        <w:rPr>
          <w:rFonts w:hint="eastAsia" w:ascii="Times New Roman" w:hAnsi="Times New Roman" w:cs="Times New Roman"/>
          <w:szCs w:val="24"/>
        </w:rPr>
        <w:t xml:space="preserve"> </w:t>
      </w:r>
      <w:r>
        <w:rPr>
          <w:rFonts w:ascii="Times New Roman" w:hAnsi="Times New Roman" w:cs="Times New Roman"/>
          <w:szCs w:val="24"/>
        </w:rPr>
        <w:t>China’s traditional urbanization model has primarily emphasized spatial urban expansion and population concentration while neglecting ecological conservation and rural</w:t>
      </w:r>
      <w:r>
        <w:rPr>
          <w:rFonts w:hint="eastAsia" w:ascii="Times New Roman" w:hAnsi="Times New Roman" w:cs="Times New Roman"/>
          <w:szCs w:val="24"/>
        </w:rPr>
        <w:t>-</w:t>
      </w:r>
      <w:r>
        <w:rPr>
          <w:rFonts w:ascii="Times New Roman" w:hAnsi="Times New Roman" w:cs="Times New Roman"/>
          <w:szCs w:val="24"/>
        </w:rPr>
        <w:t xml:space="preserve">urban coordination. </w:t>
      </w:r>
      <w:r>
        <w:rPr>
          <w:rFonts w:hint="eastAsia" w:ascii="Times New Roman" w:hAnsi="Times New Roman" w:cs="Times New Roman"/>
          <w:szCs w:val="24"/>
          <w:lang w:val="en-US" w:eastAsia="zh-CN"/>
        </w:rPr>
        <w:t>T</w:t>
      </w:r>
      <w:r>
        <w:rPr>
          <w:rFonts w:ascii="Times New Roman" w:hAnsi="Times New Roman" w:cs="Times New Roman"/>
          <w:szCs w:val="24"/>
        </w:rPr>
        <w:t>his approach has resulted in systemic</w:t>
      </w:r>
      <w:r>
        <w:rPr>
          <w:rFonts w:hint="eastAsia" w:ascii="Times New Roman" w:hAnsi="Times New Roman" w:cs="Times New Roman"/>
          <w:szCs w:val="24"/>
        </w:rPr>
        <w:t xml:space="preserve"> </w:t>
      </w:r>
      <w:r>
        <w:rPr>
          <w:rFonts w:ascii="Times New Roman" w:hAnsi="Times New Roman" w:cs="Times New Roman"/>
          <w:szCs w:val="24"/>
        </w:rPr>
        <w:t xml:space="preserve">imbalances within urban systems, crowding out the spatial and environmental resources </w:t>
      </w:r>
      <w:r>
        <w:rPr>
          <w:rFonts w:hint="eastAsia" w:ascii="Times New Roman" w:hAnsi="Times New Roman" w:cs="Times New Roman"/>
          <w:szCs w:val="24"/>
        </w:rPr>
        <w:t>essential</w:t>
      </w:r>
      <w:r>
        <w:rPr>
          <w:rFonts w:ascii="Times New Roman" w:hAnsi="Times New Roman" w:cs="Times New Roman"/>
          <w:szCs w:val="24"/>
        </w:rPr>
        <w:t xml:space="preserve"> for agricultural development and thereby undermining agricultural sustainability</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&lt;EndNote&gt;&lt;Cite&gt;&lt;Author&gt;Feng&lt;/Author&gt;&lt;Year&gt;2023&lt;/Year&gt;&lt;RecNum&gt;22&lt;/RecNum&gt;&lt;DisplayText&gt; (Feng et al., 2023; Zhu et al., 2025)&lt;/DisplayText&gt;&lt;record&gt;&lt;rec-number&gt;22&lt;/rec-number&gt;&lt;foreign-keys&gt;&lt;key app="EN" db-id="dv0v2adwc2etf1ep9tapzzz5vffpepr5wxwa" timestamp="1765091061"&gt;22&lt;/key&gt;&lt;/foreign-keys&gt;&lt;ref-type name="Journal Article"&gt;17&lt;/ref-type&gt;&lt;contributors&gt;&lt;authors&gt;&lt;author&gt;Feng, Yidai&lt;/author&gt;&lt;author&gt;Yuan, Huaxi&lt;/author&gt;&lt;author&gt;Liu, Yaobin&lt;/author&gt;&lt;author&gt;Zhang, Shaohui&lt;/author&gt;&lt;/authors&gt;&lt;/contributors&gt;&lt;titles&gt;&lt;title&gt;Does new-type urbanization policy promote green energy efficiency? Evidence from a quasi-natural experiment in China&lt;/title&gt;&lt;secondary-title&gt;Energy Economics&lt;/secondary-title&gt;&lt;/titles&gt;&lt;periodical&gt;&lt;full-title&gt;Energy Economics&lt;/full-title&gt;&lt;/periodical&gt;&lt;pages&gt;106752&lt;/pages&gt;&lt;volume&gt;124&lt;/volume&gt;&lt;dates&gt;&lt;year&gt;2023&lt;/year&gt;&lt;/dates&gt;&lt;isbn&gt;0140-9883&lt;/isbn&gt;&lt;urls&gt;&lt;/urls&gt;&lt;electronic-resource-num&gt;10.1016/j.eneco.2023.106752&lt;/electronic-resource-num&gt;&lt;/record&gt;&lt;/Cite&gt;&lt;Cite&gt;&lt;Author&gt;Zhu&lt;/Author&gt;&lt;Year&gt;2025&lt;/Year&gt;&lt;RecNum&gt;23&lt;/RecNum&gt;&lt;record&gt;&lt;rec-number&gt;23&lt;/rec-number&gt;&lt;foreign-keys&gt;&lt;key app="EN" db-id="dv0v2adwc2etf1ep9tapzzz5vffpepr5wxwa" timestamp="1765091206"&gt;23&lt;/key&gt;&lt;/foreign-keys&gt;&lt;ref-type name="Journal Article"&gt;17&lt;/ref-type&gt;&lt;contributors&gt;&lt;authors&gt;&lt;author&gt;Zhu, Bifeng&lt;/author&gt;&lt;author&gt;Ma, Yajun&lt;/author&gt;&lt;author&gt;Yu, Zhengyong&lt;/author&gt;&lt;author&gt;Liu, Wei&lt;/author&gt;&lt;author&gt;Ren, Qiang&lt;/author&gt;&lt;/authors&gt;&lt;/contributors&gt;&lt;titles&gt;&lt;title&gt;Exploring the coupling coordination relationship and obstacle factors of rural revitalization, new-type urbanization, and digital economy in China&lt;/title&gt;&lt;secondary-title&gt;Plos One&lt;/secondary-title&gt;&lt;/titles&gt;&lt;periodical&gt;&lt;full-title&gt;Plos One&lt;/full-title&gt;&lt;/periodical&gt;&lt;pages&gt;e0313125&lt;/pages&gt;&lt;volume&gt;20&lt;/volume&gt;&lt;number&gt;1&lt;/number&gt;&lt;section&gt;e0313125&lt;/section&gt;&lt;dates&gt;&lt;year&gt;2025&lt;/year&gt;&lt;/dates&gt;&lt;isbn&gt;1932-6203&lt;/isbn&gt;&lt;urls&gt;&lt;/urls&gt;&lt;electronic-resource-num&gt;10.1371/journal.pone.0313125&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"_ENREF_15" \o "Feng, 2023 #22" </w:instrText>
      </w:r>
      <w:r>
        <w:fldChar w:fldCharType="separate"/>
      </w:r>
      <w:r>
        <w:rPr>
          <w:rStyle w:val="23"/>
          <w:rFonts w:hint="eastAsia"/>
        </w:rPr>
        <w:t>Feng et al., 2023</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To address these challenges, the National New-type Urbanization Plan (2014–2020) explicitly identified new-type urbanization as a</w:t>
      </w:r>
      <w:r>
        <w:rPr>
          <w:rFonts w:hint="eastAsia" w:ascii="Times New Roman" w:hAnsi="Times New Roman" w:cs="Times New Roman"/>
          <w:szCs w:val="24"/>
        </w:rPr>
        <w:t xml:space="preserve"> </w:t>
      </w:r>
      <w:r>
        <w:rPr>
          <w:rFonts w:ascii="Times New Roman" w:hAnsi="Times New Roman" w:cs="Times New Roman"/>
          <w:szCs w:val="24"/>
        </w:rPr>
        <w:t xml:space="preserve">strategic measure </w:t>
      </w:r>
      <w:r>
        <w:rPr>
          <w:rFonts w:hint="eastAsia" w:ascii="Times New Roman" w:hAnsi="Times New Roman" w:cs="Times New Roman"/>
          <w:szCs w:val="24"/>
          <w:lang w:val="en-US" w:eastAsia="zh-CN"/>
        </w:rPr>
        <w:t>for</w:t>
      </w:r>
      <w:r>
        <w:rPr>
          <w:rFonts w:ascii="Times New Roman" w:hAnsi="Times New Roman" w:cs="Times New Roman"/>
          <w:szCs w:val="24"/>
        </w:rPr>
        <w:t xml:space="preserve"> </w:t>
      </w:r>
      <w:r>
        <w:rPr>
          <w:rFonts w:hint="eastAsia" w:ascii="Times New Roman" w:hAnsi="Times New Roman" w:cs="Times New Roman"/>
          <w:szCs w:val="24"/>
        </w:rPr>
        <w:t>address</w:t>
      </w:r>
      <w:r>
        <w:rPr>
          <w:rFonts w:hint="eastAsia" w:ascii="Times New Roman" w:hAnsi="Times New Roman" w:cs="Times New Roman"/>
          <w:szCs w:val="24"/>
          <w:lang w:val="en-US" w:eastAsia="zh-CN"/>
        </w:rPr>
        <w:t>ing</w:t>
      </w:r>
      <w:r>
        <w:rPr>
          <w:rFonts w:ascii="Times New Roman" w:hAnsi="Times New Roman" w:cs="Times New Roman"/>
          <w:szCs w:val="24"/>
        </w:rPr>
        <w:t xml:space="preserve"> the “three rural” issues</w:t>
      </w:r>
      <w:r>
        <w:rPr>
          <w:rFonts w:hint="eastAsia" w:ascii="Times New Roman" w:hAnsi="Times New Roman" w:cs="Times New Roman"/>
          <w:szCs w:val="24"/>
        </w:rPr>
        <w:t>-</w:t>
      </w:r>
      <w:r>
        <w:rPr>
          <w:rFonts w:ascii="Times New Roman" w:hAnsi="Times New Roman" w:cs="Times New Roman"/>
          <w:szCs w:val="24"/>
        </w:rPr>
        <w:t>agriculture, rural areas, and farmers</w:t>
      </w:r>
      <w:r>
        <w:rPr>
          <w:rFonts w:hint="eastAsia" w:ascii="Times New Roman" w:hAnsi="Times New Roman" w:cs="Times New Roman"/>
          <w:szCs w:val="24"/>
        </w:rPr>
        <w:t xml:space="preserve">. </w:t>
      </w:r>
      <w:r>
        <w:rPr>
          <w:rFonts w:ascii="Times New Roman" w:hAnsi="Times New Roman" w:cs="Times New Roman"/>
          <w:szCs w:val="24"/>
        </w:rPr>
        <w:t>Subsequently</w:t>
      </w:r>
      <w:r>
        <w:rPr>
          <w:rFonts w:hint="eastAsia" w:ascii="Times New Roman" w:hAnsi="Times New Roman" w:cs="Times New Roman"/>
          <w:szCs w:val="24"/>
        </w:rPr>
        <w:t>, i</w:t>
      </w:r>
      <w:r>
        <w:rPr>
          <w:rFonts w:ascii="Times New Roman" w:hAnsi="Times New Roman" w:cs="Times New Roman"/>
          <w:szCs w:val="24"/>
        </w:rPr>
        <w:t xml:space="preserve">n 2021, the National Development and Reform Commission further </w:t>
      </w:r>
      <w:r>
        <w:rPr>
          <w:rFonts w:hint="eastAsia" w:ascii="Times New Roman" w:hAnsi="Times New Roman" w:cs="Times New Roman"/>
          <w:szCs w:val="24"/>
        </w:rPr>
        <w:t>outlined</w:t>
      </w:r>
      <w:r>
        <w:rPr>
          <w:rFonts w:ascii="Times New Roman" w:hAnsi="Times New Roman" w:cs="Times New Roman"/>
          <w:szCs w:val="24"/>
        </w:rPr>
        <w:t xml:space="preserve"> the Key Tasks for Promoting New-type Urbanization and Rural</w:t>
      </w:r>
      <w:r>
        <w:rPr>
          <w:rFonts w:hint="eastAsia" w:ascii="Times New Roman" w:hAnsi="Times New Roman" w:cs="Times New Roman"/>
          <w:szCs w:val="24"/>
        </w:rPr>
        <w:t>-</w:t>
      </w:r>
      <w:r>
        <w:rPr>
          <w:rFonts w:ascii="Times New Roman" w:hAnsi="Times New Roman" w:cs="Times New Roman"/>
          <w:szCs w:val="24"/>
        </w:rPr>
        <w:t xml:space="preserve">Urban Integration, </w:t>
      </w:r>
      <w:r>
        <w:rPr>
          <w:rFonts w:hint="default" w:ascii="Times New Roman" w:hAnsi="Times New Roman" w:cs="Times New Roman"/>
          <w:szCs w:val="24"/>
        </w:rPr>
        <w:t>emphasizing</w:t>
      </w:r>
      <w:r>
        <w:rPr>
          <w:rFonts w:ascii="Times New Roman" w:hAnsi="Times New Roman" w:cs="Times New Roman"/>
          <w:szCs w:val="24"/>
        </w:rPr>
        <w:t xml:space="preserve"> the importance of advancing people-centered urbanization,</w:t>
      </w:r>
      <w:r>
        <w:rPr>
          <w:rFonts w:hint="eastAsia" w:ascii="Times New Roman" w:hAnsi="Times New Roman" w:cs="Times New Roman"/>
          <w:szCs w:val="24"/>
          <w:lang w:val="en-US" w:eastAsia="zh-CN"/>
        </w:rPr>
        <w:t xml:space="preserve"> modern</w:t>
      </w:r>
      <w:r>
        <w:rPr>
          <w:rFonts w:ascii="Times New Roman" w:hAnsi="Times New Roman" w:cs="Times New Roman"/>
          <w:szCs w:val="24"/>
        </w:rPr>
        <w:t xml:space="preserve"> urban construction, and governance capac</w:t>
      </w:r>
      <w:r>
        <w:rPr>
          <w:rFonts w:hint="eastAsia" w:ascii="Times New Roman" w:hAnsi="Times New Roman" w:cs="Times New Roman"/>
          <w:szCs w:val="24"/>
        </w:rPr>
        <w:t>ity</w:t>
      </w:r>
      <w:r>
        <w:rPr>
          <w:rFonts w:hint="eastAsia" w:ascii="Times New Roman" w:hAnsi="Times New Roman" w:cs="Times New Roman"/>
          <w:szCs w:val="24"/>
          <w:lang w:val="en-US" w:eastAsia="zh-CN"/>
        </w:rPr>
        <w:t xml:space="preserve"> </w:t>
      </w:r>
      <w:r>
        <w:rPr>
          <w:rFonts w:hint="default" w:ascii="Times New Roman" w:hAnsi="Times New Roman" w:cs="Times New Roman"/>
          <w:szCs w:val="24"/>
        </w:rPr>
        <w:t>enhancement</w:t>
      </w:r>
      <w:r>
        <w:rPr>
          <w:rFonts w:hint="eastAsia" w:ascii="Times New Roman" w:hAnsi="Times New Roman" w:cs="Times New Roman"/>
          <w:szCs w:val="24"/>
        </w:rPr>
        <w:t xml:space="preserve">. In contrast to the expansion-oriented trajectory of traditional urbanization, </w:t>
      </w:r>
      <w:r>
        <w:rPr>
          <w:rFonts w:hint="eastAsia" w:ascii="Times New Roman" w:hAnsi="Times New Roman" w:cs="Times New Roman"/>
          <w:szCs w:val="24"/>
          <w:lang w:val="en-US" w:eastAsia="zh-CN"/>
        </w:rPr>
        <w:t xml:space="preserve">NTU </w:t>
      </w:r>
      <w:r>
        <w:rPr>
          <w:rFonts w:ascii="Times New Roman" w:hAnsi="Times New Roman" w:cs="Times New Roman"/>
          <w:szCs w:val="24"/>
        </w:rPr>
        <w:t>emphasizes</w:t>
      </w:r>
      <w:r>
        <w:rPr>
          <w:rFonts w:hint="eastAsia" w:ascii="Times New Roman" w:hAnsi="Times New Roman" w:cs="Times New Roman"/>
          <w:szCs w:val="24"/>
        </w:rPr>
        <w:t xml:space="preserve"> </w:t>
      </w:r>
      <w:r>
        <w:rPr>
          <w:rFonts w:ascii="Times New Roman" w:hAnsi="Times New Roman" w:cs="Times New Roman"/>
          <w:szCs w:val="24"/>
        </w:rPr>
        <w:t>human well-being, ecological conservation,</w:t>
      </w:r>
      <w:r>
        <w:rPr>
          <w:rFonts w:hint="eastAsia" w:ascii="Times New Roman" w:hAnsi="Times New Roman" w:cs="Times New Roman"/>
          <w:szCs w:val="24"/>
        </w:rPr>
        <w:t xml:space="preserve"> </w:t>
      </w:r>
      <w:r>
        <w:rPr>
          <w:rFonts w:ascii="Times New Roman" w:hAnsi="Times New Roman" w:cs="Times New Roman"/>
          <w:szCs w:val="24"/>
        </w:rPr>
        <w:t>and low-carbon sustainable development</w:t>
      </w:r>
      <w:r>
        <w:rPr>
          <w:rFonts w:ascii="Times New Roman" w:hAnsi="Times New Roman" w:cs="Times New Roman"/>
          <w:szCs w:val="24"/>
        </w:rPr>
        <w:fldChar w:fldCharType="begin">
          <w:fldData xml:space="preserve">PEVuZE5vdGU+PENpdGU+PEF1dGhvcj5CYWk8L0F1dGhvcj48WWVhcj4yMDE0PC9ZZWFyPjxSZWNO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</w:fldData>
        </w:fldChar>
      </w:r>
      <w:r>
        <w:rPr>
          <w:rFonts w:ascii="Times New Roman" w:hAnsi="Times New Roman" w:cs="Times New Roman"/>
          <w:szCs w:val="24"/>
        </w:rPr>
        <w:instrText xml:space="preserve"> ADDIN EN.CITE </w:instrText>
      </w:r>
      <w:r>
        <w:rPr>
          <w:rFonts w:ascii="Times New Roman" w:hAnsi="Times New Roman" w:cs="Times New Roman"/>
          <w:szCs w:val="24"/>
        </w:rPr>
        <w:fldChar w:fldCharType="begin">
          <w:fldData xml:space="preserve">PEVuZE5vdGU+PENpdGU+PEF1dGhvcj5CYWk8L0F1dGhvcj48WWVhcj4yMDE0PC9ZZWFyPjxSZWNO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</w:fldData>
        </w:fldChar>
      </w:r>
      <w:r>
        <w:rPr>
          <w:rFonts w:ascii="Times New Roman" w:hAnsi="Times New Roman" w:cs="Times New Roman"/>
          <w:szCs w:val="24"/>
        </w:rPr>
        <w:instrText xml:space="preserve"> ADDIN EN.CITE.DATA </w:instrText>
      </w:r>
      <w:r>
        <w:rPr>
          <w:rFonts w:ascii="Times New Roman" w:hAnsi="Times New Roman" w:cs="Times New Roman"/>
          <w:szCs w:val="24"/>
        </w:rPr>
        <w:fldChar w:fldCharType="end"/>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"_ENREF_2" \o "Bai, 2014 #25" </w:instrText>
      </w:r>
      <w:r>
        <w:fldChar w:fldCharType="separate"/>
      </w:r>
      <w:r>
        <w:rPr>
          <w:rStyle w:val="23"/>
          <w:rFonts w:hint="eastAsia"/>
        </w:rPr>
        <w:t>Bai et al., 2014</w:t>
      </w:r>
      <w:r>
        <w:rPr>
          <w:rStyle w:val="23"/>
          <w:rFonts w:hint="eastAsia"/>
        </w:rPr>
        <w:fldChar w:fldCharType="end"/>
      </w:r>
      <w:r>
        <w:rPr>
          <w:rFonts w:ascii="Times New Roman" w:hAnsi="Times New Roman" w:cs="Times New Roman"/>
          <w:szCs w:val="24"/>
        </w:rPr>
        <w:t>;</w:t>
      </w:r>
      <w:r>
        <w:fldChar w:fldCharType="begin"/>
      </w:r>
      <w:r>
        <w:instrText xml:space="preserve"> HYPERLINK \l "_ENREF_42" \o "Sun, 2017 #28" </w:instrText>
      </w:r>
      <w:r>
        <w:fldChar w:fldCharType="separate"/>
      </w:r>
      <w:r>
        <w:rPr>
          <w:rStyle w:val="23"/>
          <w:rFonts w:hint="eastAsia"/>
        </w:rPr>
        <w:t>Sun et al., 2017</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It seeks to ensure equitable access to basic public services in both urban and rural areas and promotes the integrated development of infrastructure</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&lt;EndNote&gt;&lt;Cite&gt;&lt;Author&gt;Tang&lt;/Author&gt;&lt;Year&gt;2020&lt;/Year&gt;&lt;RecNum&gt;29&lt;/RecNum&gt;&lt;DisplayText&gt; (Tang &amp;amp; Zhu, 2020)&lt;/DisplayText&gt;&lt;record&gt;&lt;rec-number&gt;29&lt;/rec-number&gt;&lt;foreign-keys&gt;&lt;key app="EN" db-id="dv0v2adwc2etf1ep9tapzzz5vffpepr5wxwa" timestamp="1765091994"&gt;29&lt;/key&gt;&lt;/foreign-keys&gt;&lt;ref-type name="Journal Article"&gt;17&lt;/ref-type&gt;&lt;contributors&gt;&lt;authors&gt;&lt;author&gt;Tang, Weicheng&lt;/author&gt;&lt;author&gt;Zhu, Jin&lt;/author&gt;&lt;/authors&gt;&lt;/contributors&gt;&lt;titles&gt;&lt;title&gt;Informality and rural industry: Rethinking the impacts of E-Commerce on rural development in China&lt;/title&gt;&lt;secondary-title&gt;Journal of Rural Studies&lt;/secondary-title&gt;&lt;/titles&gt;&lt;periodical&gt;&lt;full-title&gt;Journal of Rural Studies&lt;/full-title&gt;&lt;/periodical&gt;&lt;pages&gt;20-29&lt;/pages&gt;&lt;volume&gt;75&lt;/volume&gt;&lt;dates&gt;&lt;year&gt;2020&lt;/year&gt;&lt;/dates&gt;&lt;isbn&gt;0743-0167&lt;/isbn&gt;&lt;urls&gt;&lt;/urls&gt;&lt;electronic-resource-num&gt;10.1016/j.jrurstud.2020.02.010&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"_ENREF_43" \o "Tang, 2020 #29" </w:instrText>
      </w:r>
      <w:r>
        <w:fldChar w:fldCharType="separate"/>
      </w:r>
      <w:r>
        <w:rPr>
          <w:rStyle w:val="23"/>
          <w:rFonts w:hint="eastAsia"/>
        </w:rPr>
        <w:t>Tang &amp; Zhu, 2020</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bookmarkStart w:id="4" w:name="_Hlk204199465"/>
      <w:r>
        <w:rPr>
          <w:rFonts w:hint="eastAsia" w:ascii="Times New Roman" w:hAnsi="Times New Roman" w:cs="Times New Roman"/>
          <w:szCs w:val="24"/>
        </w:rPr>
        <w:t xml:space="preserve">. </w:t>
      </w:r>
      <w:bookmarkEnd w:id="4"/>
      <w:r>
        <w:rPr>
          <w:rFonts w:hint="eastAsia" w:ascii="Times New Roman" w:hAnsi="Times New Roman" w:cs="Times New Roman"/>
          <w:szCs w:val="24"/>
        </w:rPr>
        <w:t>Through</w:t>
      </w:r>
      <w:r>
        <w:rPr>
          <w:rFonts w:ascii="Times New Roman" w:hAnsi="Times New Roman" w:cs="Times New Roman"/>
          <w:szCs w:val="24"/>
        </w:rPr>
        <w:t xml:space="preserve"> optimiz</w:t>
      </w:r>
      <w:r>
        <w:rPr>
          <w:rFonts w:hint="eastAsia" w:ascii="Times New Roman" w:hAnsi="Times New Roman" w:cs="Times New Roman"/>
          <w:szCs w:val="24"/>
        </w:rPr>
        <w:t>ed resource</w:t>
      </w:r>
      <w:r>
        <w:rPr>
          <w:rFonts w:ascii="Times New Roman" w:hAnsi="Times New Roman" w:cs="Times New Roman"/>
          <w:szCs w:val="24"/>
        </w:rPr>
        <w:t xml:space="preserve"> allocation and strengthen</w:t>
      </w:r>
      <w:r>
        <w:rPr>
          <w:rFonts w:hint="eastAsia" w:ascii="Times New Roman" w:hAnsi="Times New Roman" w:cs="Times New Roman"/>
          <w:szCs w:val="24"/>
        </w:rPr>
        <w:t xml:space="preserve">ed </w:t>
      </w:r>
      <w:r>
        <w:rPr>
          <w:rFonts w:ascii="Times New Roman" w:hAnsi="Times New Roman" w:cs="Times New Roman"/>
          <w:szCs w:val="24"/>
        </w:rPr>
        <w:t>scien</w:t>
      </w:r>
      <w:r>
        <w:rPr>
          <w:rFonts w:hint="eastAsia" w:ascii="Times New Roman" w:hAnsi="Times New Roman" w:cs="Times New Roman"/>
          <w:szCs w:val="24"/>
        </w:rPr>
        <w:t>tific</w:t>
      </w:r>
      <w:r>
        <w:rPr>
          <w:rFonts w:ascii="Times New Roman" w:hAnsi="Times New Roman" w:cs="Times New Roman"/>
          <w:szCs w:val="24"/>
        </w:rPr>
        <w:t xml:space="preserve"> and technolog</w:t>
      </w:r>
      <w:r>
        <w:rPr>
          <w:rFonts w:hint="eastAsia" w:ascii="Times New Roman" w:hAnsi="Times New Roman" w:cs="Times New Roman"/>
          <w:szCs w:val="24"/>
          <w:lang w:val="en-US" w:eastAsia="zh-CN"/>
        </w:rPr>
        <w:t>ical</w:t>
      </w:r>
      <w:r>
        <w:rPr>
          <w:rFonts w:ascii="Times New Roman" w:hAnsi="Times New Roman" w:cs="Times New Roman"/>
          <w:szCs w:val="24"/>
        </w:rPr>
        <w:t xml:space="preserve"> support systems</w:t>
      </w:r>
      <w:r>
        <w:rPr>
          <w:rFonts w:hint="eastAsia" w:ascii="Times New Roman" w:hAnsi="Times New Roman" w:cs="Times New Roman"/>
          <w:szCs w:val="24"/>
        </w:rPr>
        <w:t xml:space="preserve"> for agriculture</w:t>
      </w:r>
      <w:r>
        <w:rPr>
          <w:rFonts w:ascii="Times New Roman" w:hAnsi="Times New Roman" w:cs="Times New Roman"/>
          <w:szCs w:val="24"/>
        </w:rPr>
        <w:t xml:space="preserve">, </w:t>
      </w:r>
      <w:r>
        <w:rPr>
          <w:rFonts w:hint="eastAsia" w:ascii="Times New Roman" w:hAnsi="Times New Roman" w:cs="Times New Roman"/>
          <w:szCs w:val="24"/>
          <w:lang w:val="en-US" w:eastAsia="zh-CN"/>
        </w:rPr>
        <w:t>NTU</w:t>
      </w:r>
      <w:r>
        <w:rPr>
          <w:rFonts w:ascii="Times New Roman" w:hAnsi="Times New Roman" w:cs="Times New Roman"/>
          <w:szCs w:val="24"/>
        </w:rPr>
        <w:t xml:space="preserve"> enhances the capacity of agricultural systems to withstand external shocks, </w:t>
      </w:r>
      <w:r>
        <w:rPr>
          <w:rFonts w:hint="eastAsia" w:ascii="Times New Roman" w:hAnsi="Times New Roman" w:cs="Times New Roman"/>
          <w:szCs w:val="24"/>
        </w:rPr>
        <w:t xml:space="preserve">establishing itself </w:t>
      </w:r>
      <w:r>
        <w:rPr>
          <w:rFonts w:ascii="Times New Roman" w:hAnsi="Times New Roman" w:cs="Times New Roman"/>
          <w:szCs w:val="24"/>
        </w:rPr>
        <w:t>as a critical pathway toward achieving</w:t>
      </w:r>
      <w:r>
        <w:rPr>
          <w:rFonts w:hint="eastAsia" w:ascii="Times New Roman" w:hAnsi="Times New Roman" w:cs="Times New Roman"/>
          <w:szCs w:val="24"/>
        </w:rPr>
        <w:t xml:space="preserve"> </w:t>
      </w:r>
      <w:r>
        <w:rPr>
          <w:rFonts w:ascii="Times New Roman" w:hAnsi="Times New Roman" w:cs="Times New Roman"/>
          <w:szCs w:val="24"/>
        </w:rPr>
        <w:t>sustainab</w:t>
      </w:r>
      <w:r>
        <w:rPr>
          <w:rFonts w:hint="eastAsia" w:ascii="Times New Roman" w:hAnsi="Times New Roman" w:cs="Times New Roman"/>
          <w:szCs w:val="24"/>
        </w:rPr>
        <w:t xml:space="preserve">le </w:t>
      </w:r>
      <w:r>
        <w:rPr>
          <w:rFonts w:ascii="Times New Roman" w:hAnsi="Times New Roman" w:cs="Times New Roman"/>
          <w:szCs w:val="24"/>
        </w:rPr>
        <w:t xml:space="preserve">agricultural </w:t>
      </w:r>
      <w:r>
        <w:rPr>
          <w:rFonts w:hint="eastAsia" w:ascii="Times New Roman" w:hAnsi="Times New Roman" w:cs="Times New Roman"/>
          <w:szCs w:val="24"/>
        </w:rPr>
        <w:t>development</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&lt;EndNote&gt;&lt;Cite&gt;&lt;Author&gt;Li&lt;/Author&gt;&lt;Year&gt;2025&lt;/Year&gt;&lt;RecNum&gt;30&lt;/RecNum&gt;&lt;DisplayText&gt; (Li &amp;amp; Guo, 2025; Zhou &amp;amp; Xin, 2025)&lt;/DisplayText&gt;&lt;record&gt;&lt;rec-number&gt;30&lt;/rec-number&gt;&lt;foreign-keys&gt;&lt;key app="EN" db-id="dv0v2adwc2etf1ep9tapzzz5vffpepr5wxwa" timestamp="1765092142"&gt;30&lt;/key&gt;&lt;/foreign-keys&gt;&lt;ref-type name="Journal Article"&gt;17&lt;/ref-type&gt;&lt;contributors&gt;&lt;authors&gt;&lt;author&gt;Li, Weijuan&lt;/author&gt;&lt;author&gt;Guo, Jinyong&lt;/author&gt;&lt;/authors&gt;&lt;/contributors&gt;&lt;titles&gt;&lt;title&gt;Coupling coordination and obstacle factors of cultivated land system resilience and new urbanization&lt;/title&gt;&lt;secondary-title&gt;Frontiers in Sustainable Food Systems&lt;/secondary-title&gt;&lt;/titles&gt;&lt;periodical&gt;&lt;full-title&gt;Frontiers in Sustainable Food Systems&lt;/full-title&gt;&lt;/periodical&gt;&lt;volume&gt;9&lt;/volume&gt;&lt;dates&gt;&lt;year&gt;2025&lt;/year&gt;&lt;/dates&gt;&lt;isbn&gt;2571-581X&lt;/isbn&gt;&lt;urls&gt;&lt;/urls&gt;&lt;electronic-resource-num&gt;10.3389/fsufs.2025.1554797&lt;/electronic-resource-num&gt;&lt;/record&gt;&lt;/Cite&gt;&lt;Cite&gt;&lt;Author&gt;Zhou&lt;/Author&gt;&lt;Year&gt;2025&lt;/Year&gt;&lt;RecNum&gt;32&lt;/RecNum&gt;&lt;record&gt;&lt;rec-number&gt;32&lt;/rec-number&gt;&lt;foreign-keys&gt;&lt;key app="EN" db-id="dv0v2adwc2etf1ep9tapzzz5vffpepr5wxwa" timestamp="1765092236"&gt;32&lt;/key&gt;&lt;/foreign-keys&gt;&lt;ref-type name="Journal Article"&gt;17&lt;/ref-type&gt;&lt;contributors&gt;&lt;authors&gt;&lt;author&gt;Zhou, Liping&lt;/author&gt;&lt;author&gt;Xin, Ting&lt;/author&gt;&lt;/authors&gt;&lt;/contributors&gt;&lt;titles&gt;&lt;title&gt;The impact of new urbanization construction on the resilience of China’s agricultural economy: Empirical analysis based on the spatial difference-in-differences model&lt;/title&gt;&lt;secondary-title&gt;Chinese Journal of Eco-Agriculture&lt;/secondary-title&gt;&lt;/titles&gt;&lt;periodical&gt;&lt;full-title&gt;Chinese Journal of Eco-Agriculture&lt;/full-title&gt;&lt;/periodical&gt;&lt;pages&gt;&lt;style face="normal" font="default" size="100%"&gt;807&lt;/style&gt;&lt;style face="normal" font="default" charset="1" size="100%"&gt;−&lt;/style&gt;&lt;style face="normal" font="default" size="100%"&gt;819&lt;/style&gt;&lt;/pages&gt;&lt;volume&gt;33&lt;/volume&gt;&lt;number&gt;4&lt;/number&gt;&lt;dates&gt;&lt;year&gt;2025&lt;/year&gt;&lt;/dates&gt;&lt;isbn&gt;2096-6237&lt;/isbn&gt;&lt;urls&gt;&lt;/urls&gt;&lt;electronic-resource-num&gt;10.12357/cjea.20240328&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"_ENREF_26" \o "Li, 2025 #30" </w:instrText>
      </w:r>
      <w:r>
        <w:fldChar w:fldCharType="separate"/>
      </w:r>
      <w:r>
        <w:rPr>
          <w:rStyle w:val="23"/>
          <w:rFonts w:hint="eastAsia"/>
        </w:rPr>
        <w:t>Li &amp; Guo,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p>
    <w:bookmarkEnd w:id="3"/>
    <w:p w14:paraId="4E252C8F">
      <w:pPr>
        <w:spacing w:line="480" w:lineRule="auto"/>
        <w:ind w:firstLine="480"/>
        <w:rPr>
          <w:rFonts w:ascii="Times New Roman" w:hAnsi="Times New Roman" w:cs="Times New Roman"/>
          <w:szCs w:val="24"/>
        </w:rPr>
      </w:pPr>
      <w:bookmarkStart w:id="5" w:name="OLE_LINK9"/>
      <w:r>
        <w:rPr>
          <w:rFonts w:ascii="Times New Roman" w:hAnsi="Times New Roman" w:cs="Times New Roman"/>
          <w:szCs w:val="24"/>
        </w:rPr>
        <w:t xml:space="preserve">Existing </w:t>
      </w:r>
      <w:r>
        <w:rPr>
          <w:rFonts w:hint="eastAsia" w:ascii="Times New Roman" w:hAnsi="Times New Roman" w:cs="Times New Roman"/>
          <w:szCs w:val="24"/>
        </w:rPr>
        <w:t>literature</w:t>
      </w:r>
      <w:r>
        <w:rPr>
          <w:rFonts w:ascii="Times New Roman" w:hAnsi="Times New Roman" w:cs="Times New Roman"/>
          <w:szCs w:val="24"/>
        </w:rPr>
        <w:t xml:space="preserve"> on agricultural economic resilience and new-type urbanization can be broadly </w:t>
      </w:r>
      <w:r>
        <w:rPr>
          <w:rFonts w:hint="eastAsia" w:ascii="Times New Roman" w:hAnsi="Times New Roman" w:cs="Times New Roman"/>
          <w:szCs w:val="24"/>
        </w:rPr>
        <w:t>divided</w:t>
      </w:r>
      <w:r>
        <w:rPr>
          <w:rFonts w:ascii="Times New Roman" w:hAnsi="Times New Roman" w:cs="Times New Roman"/>
          <w:szCs w:val="24"/>
        </w:rPr>
        <w:t xml:space="preserve"> into two </w:t>
      </w:r>
      <w:r>
        <w:rPr>
          <w:rFonts w:hint="eastAsia" w:ascii="Times New Roman" w:hAnsi="Times New Roman" w:cs="Times New Roman"/>
          <w:szCs w:val="24"/>
        </w:rPr>
        <w:t xml:space="preserve">main </w:t>
      </w:r>
      <w:r>
        <w:rPr>
          <w:rFonts w:ascii="Times New Roman" w:hAnsi="Times New Roman" w:cs="Times New Roman"/>
          <w:szCs w:val="24"/>
        </w:rPr>
        <w:t xml:space="preserve">strands. The first strand focuses on the conceptualization, measurement, and determinants of </w:t>
      </w:r>
      <w:r>
        <w:rPr>
          <w:rFonts w:hint="eastAsia" w:ascii="Times New Roman" w:hAnsi="Times New Roman" w:cs="Times New Roman"/>
          <w:szCs w:val="24"/>
          <w:lang w:val="en-US" w:eastAsia="zh-CN"/>
        </w:rPr>
        <w:t>AER</w:t>
      </w:r>
      <w:r>
        <w:rPr>
          <w:rFonts w:ascii="Times New Roman" w:hAnsi="Times New Roman" w:cs="Times New Roman"/>
          <w:szCs w:val="24"/>
        </w:rPr>
        <w:t>. Origina</w:t>
      </w:r>
      <w:r>
        <w:rPr>
          <w:rFonts w:hint="eastAsia" w:ascii="Times New Roman" w:hAnsi="Times New Roman" w:cs="Times New Roman"/>
          <w:szCs w:val="24"/>
        </w:rPr>
        <w:t>lly derived</w:t>
      </w:r>
      <w:r>
        <w:rPr>
          <w:rFonts w:ascii="Times New Roman" w:hAnsi="Times New Roman" w:cs="Times New Roman"/>
          <w:szCs w:val="24"/>
        </w:rPr>
        <w:t xml:space="preserve"> from physics, the concept of resilience was introduced into ecology by Holling</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&lt;EndNote&gt;&lt;Cite&gt;&lt;Author&gt;Holling&lt;/Author&gt;&lt;Year&gt;1973&lt;/Year&gt;&lt;RecNum&gt;33&lt;/RecNum&gt;&lt;DisplayText&gt; (Holling, 1973; Asghar et al., 2025)&lt;/DisplayText&gt;&lt;record&gt;&lt;rec-number&gt;33&lt;/rec-number&gt;&lt;foreign-keys&gt;&lt;key app="EN" db-id="dv0v2adwc2etf1ep9tapzzz5vffpepr5wxwa" timestamp="1765092410"&gt;33&lt;/key&gt;&lt;/foreign-keys&gt;&lt;ref-type name="Generic"&gt;13&lt;/ref-type&gt;&lt;contributors&gt;&lt;authors&gt;&lt;author&gt;Holling, Crawford S&lt;/author&gt;&lt;/authors&gt;&lt;/contributors&gt;&lt;titles&gt;&lt;title&gt;Resilience and stability of ecological systems&lt;/title&gt;&lt;/titles&gt;&lt;dates&gt;&lt;year&gt;1973&lt;/year&gt;&lt;/dates&gt;&lt;publisher&gt;International Institute for Applied Systems Analysis Laxenburg&lt;/publisher&gt;&lt;urls&gt;&lt;/urls&gt;&lt;electronic-resource-num&gt;10.1146/annurev.es.04.110173.000245&lt;/electronic-resource-num&gt;&lt;/record&gt;&lt;/Cite&gt;&lt;Cite&gt;&lt;Author&gt;Asghar&lt;/Author&gt;&lt;Year&gt;2025&lt;/Year&gt;&lt;RecNum&gt;34&lt;/RecNum&gt;&lt;record&gt;&lt;rec-number&gt;34&lt;/rec-number&gt;&lt;foreign-keys&gt;&lt;key app="EN" db-id="dv0v2adwc2etf1ep9tapzzz5vffpepr5wxwa" timestamp="1765092530"&gt;34&lt;/key&gt;&lt;/foreign-keys&gt;&lt;ref-type name="Journal Article"&gt;17&lt;/ref-type&gt;&lt;contributors&gt;&lt;authors&gt;&lt;author&gt;Asghar, Muhammad&lt;/author&gt;&lt;author&gt;Ayaz, Muhammad&lt;/author&gt;&lt;author&gt;Ali, Sharafat&lt;/author&gt;&lt;/authors&gt;&lt;/contributors&gt;&lt;titles&gt;&lt;title&gt;Ecological resilience in crisis: Analyzing the role of urban land use and institutional policies&lt;/title&gt;&lt;secondary-title&gt;Land Use Policy&lt;/secondary-title&gt;&lt;/titles&gt;&lt;periodical&gt;&lt;full-title&gt;Land use policy&lt;/full-title&gt;&lt;/periodical&gt;&lt;pages&gt;107492&lt;/pages&gt;&lt;volume&gt;151&lt;/volume&gt;&lt;dates&gt;&lt;year&gt;2025&lt;/year&gt;&lt;/dates&gt;&lt;isbn&gt;0264-8377&lt;/isbn&gt;&lt;urls&gt;&lt;/urls&gt;&lt;electronic-resource-num&gt;10.1016/j.landusepol.2025.107492&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"_ENREF_21" \o "Holling, 1973 #33" </w:instrText>
      </w:r>
      <w:r>
        <w:fldChar w:fldCharType="separate"/>
      </w:r>
      <w:r>
        <w:rPr>
          <w:rStyle w:val="23"/>
          <w:rFonts w:hint="eastAsia"/>
        </w:rPr>
        <w:t>Holling, 1973</w:t>
      </w:r>
      <w:r>
        <w:rPr>
          <w:rStyle w:val="23"/>
          <w:rFonts w:hint="eastAsia"/>
        </w:rPr>
        <w:fldChar w:fldCharType="end"/>
      </w:r>
      <w:r>
        <w:rPr>
          <w:rFonts w:ascii="Times New Roman" w:hAnsi="Times New Roman" w:cs="Times New Roman"/>
          <w:szCs w:val="24"/>
        </w:rPr>
        <w:t xml:space="preserve">; </w:t>
      </w:r>
      <w:r>
        <w:fldChar w:fldCharType="begin"/>
      </w:r>
      <w:r>
        <w:instrText xml:space="preserve"> HYPERLINK \l "_ENREF_1" \o "Asghar, 2025 #34" </w:instrText>
      </w:r>
      <w:r>
        <w:fldChar w:fldCharType="separate"/>
      </w:r>
      <w:r>
        <w:rPr>
          <w:rStyle w:val="23"/>
          <w:rFonts w:hint="eastAsia"/>
        </w:rPr>
        <w:t>Asghar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and subsequently extended to economics, where it</w:t>
      </w:r>
      <w:r>
        <w:rPr>
          <w:rFonts w:hint="eastAsia" w:ascii="Times New Roman" w:hAnsi="Times New Roman" w:cs="Times New Roman"/>
          <w:szCs w:val="24"/>
        </w:rPr>
        <w:t xml:space="preserve"> refers</w:t>
      </w:r>
      <w:r>
        <w:rPr>
          <w:rFonts w:ascii="Times New Roman" w:hAnsi="Times New Roman" w:cs="Times New Roman"/>
          <w:szCs w:val="24"/>
        </w:rPr>
        <w:t xml:space="preserve"> to the </w:t>
      </w:r>
      <w:r>
        <w:rPr>
          <w:rFonts w:hint="eastAsia" w:ascii="Times New Roman" w:hAnsi="Times New Roman" w:cs="Times New Roman"/>
          <w:szCs w:val="24"/>
        </w:rPr>
        <w:t>abil</w:t>
      </w:r>
      <w:r>
        <w:rPr>
          <w:rFonts w:ascii="Times New Roman" w:hAnsi="Times New Roman" w:cs="Times New Roman"/>
          <w:szCs w:val="24"/>
        </w:rPr>
        <w:t>ity of economic systems to withstand and recover from external shocks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&lt;EndNote&gt;&lt;Cite&gt;&lt;Author&gt;Simmie&lt;/Author&gt;&lt;Year&gt;2010&lt;/Year&gt;&lt;RecNum&gt;35&lt;/RecNum&gt;&lt;DisplayText&gt; (Simmie &amp;amp; Martin, 2010; Du et al., 2025b)&lt;/DisplayText&gt;&lt;record&gt;&lt;rec-number&gt;35&lt;/rec-number&gt;&lt;foreign-keys&gt;&lt;key app="EN" db-id="dv0v2adwc2etf1ep9tapzzz5vffpepr5wxwa" timestamp="1765092694"&gt;35&lt;/key&gt;&lt;/foreign-keys&gt;&lt;ref-type name="Journal Article"&gt;17&lt;/ref-type&gt;&lt;contributors&gt;&lt;authors&gt;&lt;author&gt;Simmie, J.&lt;/author&gt;&lt;author&gt;Martin, R.&lt;/author&gt;&lt;/authors&gt;&lt;/contributors&gt;&lt;titles&gt;&lt;title&gt;The economic resilience of regions: towards an evolutionary approach&lt;/title&gt;&lt;secondary-title&gt;Cambridge Journal of Regions, Economy and Society&lt;/secondary-title&gt;&lt;/titles&gt;&lt;periodical&gt;&lt;full-title&gt;Cambridge Journal of Regions, Economy and Society&lt;/full-title&gt;&lt;/periodical&gt;&lt;pages&gt;27-43&lt;/pages&gt;&lt;volume&gt;3&lt;/volume&gt;&lt;number&gt;1&lt;/number&gt;&lt;section&gt;27&lt;/section&gt;&lt;dates&gt;&lt;year&gt;2010&lt;/year&gt;&lt;/dates&gt;&lt;isbn&gt;1752-1378&amp;#xD;1752-1386&lt;/isbn&gt;&lt;urls&gt;&lt;/urls&gt;&lt;electronic-resource-num&gt;10.1093/cjres/rsp029&lt;/electronic-resource-num&gt;&lt;/record&gt;&lt;/Cite&gt;&lt;Cite&gt;&lt;Author&gt;Du&lt;/Author&gt;&lt;Year&gt;2025&lt;/Year&gt;&lt;RecNum&gt;36&lt;/RecNum&gt;&lt;record&gt;&lt;rec-number&gt;36&lt;/rec-number&gt;&lt;foreign-keys&gt;&lt;key app="EN" db-id="dv0v2adwc2etf1ep9tapzzz5vffpepr5wxwa" timestamp="1765092700"&gt;36&lt;/key&gt;&lt;/foreign-keys&gt;&lt;ref-type name="Journal Article"&gt;17&lt;/ref-type&gt;&lt;contributors&gt;&lt;authors&gt;&lt;author&gt;Du, Yanan&lt;/author&gt;&lt;author&gt;Wang, Qingxi&lt;/author&gt;&lt;author&gt;Song, Yan&lt;/author&gt;&lt;author&gt;Xin, Yueji&lt;/author&gt;&lt;/authors&gt;&lt;/contributors&gt;&lt;titles&gt;&lt;title&gt;How cross-regional collaborative innovation networks affect regional economic resilience: Evidence from 283 cities in China&lt;/title&gt;&lt;secondary-title&gt;Technological Forecasting and Social Change&lt;/secondary-title&gt;&lt;/titles&gt;&lt;periodical&gt;&lt;full-title&gt;Technological Forecasting and Social Change&lt;/full-title&gt;&lt;/periodical&gt;&lt;pages&gt;124057&lt;/pages&gt;&lt;volume&gt;215&lt;/volume&gt;&lt;dates&gt;&lt;year&gt;2025&lt;/year&gt;&lt;/dates&gt;&lt;isbn&gt;0040-1625&lt;/isbn&gt;&lt;urls&gt;&lt;/urls&gt;&lt;electronic-resource-num&gt;10.1016/j.techfore.2025.124057&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"_ENREF_40" \o "Simmie, 2010 #35" </w:instrText>
      </w:r>
      <w:r>
        <w:fldChar w:fldCharType="separate"/>
      </w:r>
      <w:r>
        <w:rPr>
          <w:rStyle w:val="23"/>
          <w:rFonts w:hint="eastAsia"/>
        </w:rPr>
        <w:t>Simmie &amp; Martin, 2010</w:t>
      </w:r>
      <w:r>
        <w:rPr>
          <w:rStyle w:val="23"/>
          <w:rFonts w:hint="eastAsia"/>
        </w:rPr>
        <w:fldChar w:fldCharType="end"/>
      </w:r>
      <w:r>
        <w:rPr>
          <w:rFonts w:ascii="Times New Roman" w:hAnsi="Times New Roman" w:cs="Times New Roman"/>
          <w:szCs w:val="24"/>
        </w:rPr>
        <w:t xml:space="preserve">; </w:t>
      </w:r>
      <w:r>
        <w:fldChar w:fldCharType="begin"/>
      </w:r>
      <w:r>
        <w:instrText xml:space="preserve"> HYPERLINK \l "_ENREF_9" \o "Du, 2025 #36" </w:instrText>
      </w:r>
      <w:r>
        <w:fldChar w:fldCharType="separate"/>
      </w:r>
      <w:r>
        <w:rPr>
          <w:rStyle w:val="23"/>
          <w:rFonts w:hint="eastAsia"/>
        </w:rPr>
        <w:t>Du et al., 2025b</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Overall, scholar </w:t>
      </w:r>
      <w:r>
        <w:rPr>
          <w:rFonts w:hint="default" w:ascii="Times New Roman" w:hAnsi="Times New Roman" w:cs="Times New Roman"/>
          <w:szCs w:val="24"/>
        </w:rPr>
        <w:t>generally conceptualize</w:t>
      </w:r>
      <w:r>
        <w:rPr>
          <w:rFonts w:hint="eastAsia" w:ascii="Times New Roman" w:hAnsi="Times New Roman" w:cs="Times New Roman"/>
          <w:szCs w:val="24"/>
          <w:lang w:val="en-US" w:eastAsia="zh-CN"/>
        </w:rPr>
        <w:t xml:space="preserve"> </w:t>
      </w:r>
      <w:r>
        <w:rPr>
          <w:rFonts w:hint="eastAsia" w:ascii="Times New Roman" w:hAnsi="Times New Roman" w:cs="Times New Roman"/>
          <w:szCs w:val="24"/>
        </w:rPr>
        <w:t xml:space="preserve">resilience as an integrative </w:t>
      </w:r>
      <w:r>
        <w:rPr>
          <w:rFonts w:hint="default" w:ascii="Times New Roman" w:hAnsi="Times New Roman" w:cs="Times New Roman"/>
          <w:szCs w:val="24"/>
        </w:rPr>
        <w:t>construct</w:t>
      </w:r>
      <w:r>
        <w:rPr>
          <w:rFonts w:hint="eastAsia" w:ascii="Times New Roman" w:hAnsi="Times New Roman" w:cs="Times New Roman"/>
          <w:szCs w:val="24"/>
        </w:rPr>
        <w:t xml:space="preserve">, typically evaluated </w:t>
      </w:r>
      <w:r>
        <w:rPr>
          <w:rFonts w:hint="default" w:ascii="Times New Roman" w:hAnsi="Times New Roman" w:cs="Times New Roman"/>
          <w:szCs w:val="24"/>
        </w:rPr>
        <w:t>across</w:t>
      </w:r>
      <w:r>
        <w:rPr>
          <w:rFonts w:hint="eastAsia" w:ascii="Times New Roman" w:hAnsi="Times New Roman" w:cs="Times New Roman"/>
          <w:szCs w:val="24"/>
        </w:rPr>
        <w:t xml:space="preserve"> dimensions of resistance, recovery, and adaptability</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&lt;EndNote&gt;&lt;Cite&gt;&lt;Author&gt;Wang&lt;/Author&gt;&lt;Year&gt;2023&lt;/Year&gt;&lt;RecNum&gt;38&lt;/RecNum&gt;&lt;DisplayText&gt; (Wang et al., 2023)&lt;/DisplayText&gt;&lt;record&gt;&lt;rec-number&gt;38&lt;/rec-number&gt;&lt;foreign-keys&gt;&lt;key app="EN" db-id="dv0v2adwc2etf1ep9tapzzz5vffpepr5wxwa" timestamp="1765092791"&gt;38&lt;/key&gt;&lt;/foreign-keys&gt;&lt;ref-type name="Journal Article"&gt;17&lt;/ref-type&gt;&lt;contributors&gt;&lt;authors&gt;&lt;author&gt;Wang, Kewen&lt;/author&gt;&lt;author&gt;Ma, Haitao&lt;/author&gt;&lt;author&gt;Fang, Chuanglin&lt;/author&gt;&lt;/authors&gt;&lt;/contributors&gt;&lt;titles&gt;&lt;title&gt;The relationship evolution between urbanization and urban ecological resilience in the Northern Slope Economic Belt of Tianshan Mountains, China&lt;/title&gt;&lt;secondary-title&gt;Sustainable Cities and Society&lt;/secondary-title&gt;&lt;/titles&gt;&lt;periodical&gt;&lt;full-title&gt;Sustainable Cities and Society&lt;/full-title&gt;&lt;/periodical&gt;&lt;pages&gt;104783&lt;/pages&gt;&lt;volume&gt;97&lt;/volume&gt;&lt;dates&gt;&lt;year&gt;2023&lt;/year&gt;&lt;/dates&gt;&lt;isbn&gt;2210-6707&lt;/isbn&gt;&lt;urls&gt;&lt;/urls&gt;&lt;electronic-resource-num&gt;10.1016/j.scs.2023.104783&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"_ENREF_46" \o "Wang, 2023 #38" </w:instrText>
      </w:r>
      <w:r>
        <w:fldChar w:fldCharType="separate"/>
      </w:r>
      <w:r>
        <w:rPr>
          <w:rStyle w:val="23"/>
          <w:rFonts w:hint="eastAsia"/>
        </w:rPr>
        <w:t>Wang et al., 2023</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Against the backdrop of increasing disruptions such as</w:t>
      </w:r>
      <w:r>
        <w:rPr>
          <w:rFonts w:hint="eastAsia" w:ascii="Times New Roman" w:hAnsi="Times New Roman" w:cs="Times New Roman"/>
          <w:szCs w:val="24"/>
        </w:rPr>
        <w:t xml:space="preserve"> </w:t>
      </w:r>
      <w:r>
        <w:rPr>
          <w:rFonts w:ascii="Times New Roman" w:hAnsi="Times New Roman" w:cs="Times New Roman"/>
          <w:szCs w:val="24"/>
        </w:rPr>
        <w:t>climate change and pandemics, scholarly attention has increasingly turned to the resilience of agricultural systems in the face of unexpected risks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&lt;EndNote&gt;&lt;Cite&gt;&lt;Author&gt;Urruty&lt;/Author&gt;&lt;Year&gt;2016&lt;/Year&gt;&lt;RecNum&gt;39&lt;/RecNum&gt;&lt;DisplayText&gt; (Urruty et al., 2016; Li et al., 2025)&lt;/DisplayText&gt;&lt;record&gt;&lt;rec-number&gt;39&lt;/rec-number&gt;&lt;foreign-keys&gt;&lt;key app="EN" db-id="dv0v2adwc2etf1ep9tapzzz5vffpepr5wxwa" timestamp="1765093309"&gt;39&lt;/key&gt;&lt;/foreign-keys&gt;&lt;ref-type name="Journal Article"&gt;17&lt;/ref-type&gt;&lt;contributors&gt;&lt;authors&gt;&lt;author&gt;Urruty, Nicolas&lt;/author&gt;&lt;author&gt;Tailliez-Lefebvre, Delphine&lt;/author&gt;&lt;author&gt;Huyghe, Christian&lt;/author&gt;&lt;/authors&gt;&lt;/contributors&gt;&lt;titles&gt;&lt;title&gt;Stability, robustness, vulnerability and resilience of agricultural systems. A review&lt;/title&gt;&lt;secondary-title&gt;Agronomy for Sustainable Development&lt;/secondary-title&gt;&lt;/titles&gt;&lt;periodical&gt;&lt;full-title&gt;Agronomy for Sustainable Development&lt;/full-title&gt;&lt;/periodical&gt;&lt;volume&gt;36&lt;/volume&gt;&lt;number&gt;1&lt;/number&gt;&lt;dates&gt;&lt;year&gt;2016&lt;/year&gt;&lt;/dates&gt;&lt;isbn&gt;1774-0746&amp;#xD;1773-0155&lt;/isbn&gt;&lt;urls&gt;&lt;/urls&gt;&lt;electronic-resource-num&gt;10.1007/s13593-015-0347-5&lt;/electronic-resource-num&gt;&lt;/record&gt;&lt;/Cite&gt;&lt;Cite&gt;&lt;Author&gt;Li&lt;/Author&gt;&lt;Year&gt;2025&lt;/Year&gt;&lt;RecNum&gt;40&lt;/RecNum&gt;&lt;record&gt;&lt;rec-number&gt;40&lt;/rec-number&gt;&lt;foreign-keys&gt;&lt;key app="EN" db-id="dv0v2adwc2etf1ep9tapzzz5vffpepr5wxwa" timestamp="1765093390"&gt;40&lt;/key&gt;&lt;/foreign-keys&gt;&lt;ref-type name="Journal Article"&gt;17&lt;/ref-type&gt;&lt;contributors&gt;&lt;authors&gt;&lt;author&gt;Li, Yuheng&lt;/author&gt;&lt;author&gt;Gao, Guangya&lt;/author&gt;&lt;author&gt;Wen, Jiuyao&lt;/author&gt;&lt;author&gt;Zhao, Ning&lt;/author&gt;&lt;author&gt;Du, Guoming&lt;/author&gt;&lt;author&gt;Stanny, Monika&lt;/author&gt;&lt;/authors&gt;&lt;/contributors&gt;&lt;titles&gt;&lt;title&gt;The measurement of agricultural disaster vulnerability in China and implications for land-supported agricultural resilience building&lt;/title&gt;&lt;secondary-title&gt;Land Use Policy&lt;/secondary-title&gt;&lt;/titles&gt;&lt;periodical&gt;&lt;full-title&gt;Land use policy&lt;/full-title&gt;&lt;/periodical&gt;&lt;pages&gt;107400&lt;/pages&gt;&lt;volume&gt;148&lt;/volume&gt;&lt;dates&gt;&lt;year&gt;2025&lt;/year&gt;&lt;/dates&gt;&lt;isbn&gt;0264-8377&lt;/isbn&gt;&lt;urls&gt;&lt;/urls&gt;&lt;electronic-resource-num&gt;10.1016/j.landusepol.2024.107400&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"_ENREF_45" \o "Urruty, 2016 #39" </w:instrText>
      </w:r>
      <w:r>
        <w:fldChar w:fldCharType="separate"/>
      </w:r>
      <w:r>
        <w:rPr>
          <w:rStyle w:val="23"/>
          <w:rFonts w:hint="eastAsia"/>
        </w:rPr>
        <w:t>Urruty et al., 2016</w:t>
      </w:r>
      <w:r>
        <w:rPr>
          <w:rStyle w:val="23"/>
          <w:rFonts w:hint="eastAsia"/>
        </w:rPr>
        <w:fldChar w:fldCharType="end"/>
      </w:r>
      <w:r>
        <w:rPr>
          <w:rFonts w:ascii="Times New Roman" w:hAnsi="Times New Roman" w:cs="Times New Roman"/>
          <w:szCs w:val="24"/>
        </w:rPr>
        <w:t xml:space="preserve">; </w:t>
      </w:r>
      <w:r>
        <w:fldChar w:fldCharType="begin"/>
      </w:r>
      <w:r>
        <w:instrText xml:space="preserve"> HYPERLINK \l "_ENREF_27" \o "Li, 2025 #40" </w:instrText>
      </w:r>
      <w:r>
        <w:fldChar w:fldCharType="separate"/>
      </w:r>
      <w:r>
        <w:rPr>
          <w:rStyle w:val="23"/>
          <w:rFonts w:hint="eastAsia"/>
        </w:rPr>
        <w:t>Li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hint="eastAsia" w:ascii="Times New Roman" w:hAnsi="Times New Roman" w:cs="Times New Roman"/>
          <w:szCs w:val="24"/>
          <w:lang w:val="en-US" w:eastAsia="zh-CN"/>
        </w:rPr>
        <w:t>AER</w:t>
      </w:r>
      <w:r>
        <w:rPr>
          <w:rFonts w:ascii="Times New Roman" w:hAnsi="Times New Roman" w:cs="Times New Roman"/>
          <w:szCs w:val="24"/>
        </w:rPr>
        <w:t xml:space="preserve"> is </w:t>
      </w:r>
      <w:r>
        <w:rPr>
          <w:rFonts w:hint="eastAsia" w:ascii="Times New Roman" w:hAnsi="Times New Roman" w:cs="Times New Roman"/>
          <w:szCs w:val="24"/>
        </w:rPr>
        <w:t>common</w:t>
      </w:r>
      <w:r>
        <w:rPr>
          <w:rFonts w:ascii="Times New Roman" w:hAnsi="Times New Roman" w:cs="Times New Roman"/>
          <w:szCs w:val="24"/>
        </w:rPr>
        <w:t xml:space="preserve">ly defined as the capacity of agricultural systems to resist, </w:t>
      </w:r>
      <w:r>
        <w:rPr>
          <w:rFonts w:hint="eastAsia" w:ascii="Times New Roman" w:hAnsi="Times New Roman" w:cs="Times New Roman"/>
          <w:szCs w:val="24"/>
        </w:rPr>
        <w:t>absorb</w:t>
      </w:r>
      <w:r>
        <w:rPr>
          <w:rFonts w:ascii="Times New Roman" w:hAnsi="Times New Roman" w:cs="Times New Roman"/>
          <w:szCs w:val="24"/>
        </w:rPr>
        <w:t>, and adapt to external disturbances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&lt;EndNote&gt;&lt;Cite&gt;&lt;Author&gt;Quandt&lt;/Author&gt;&lt;Year&gt;2023&lt;/Year&gt;&lt;RecNum&gt;41&lt;/RecNum&gt;&lt;DisplayText&gt; (Quandt, 2023)&lt;/DisplayText&gt;&lt;record&gt;&lt;rec-number&gt;41&lt;/rec-number&gt;&lt;foreign-keys&gt;&lt;key app="EN" db-id="dv0v2adwc2etf1ep9tapzzz5vffpepr5wxwa" timestamp="1765093477"&gt;41&lt;/key&gt;&lt;/foreign-keys&gt;&lt;ref-type name="Journal Article"&gt;17&lt;/ref-type&gt;&lt;contributors&gt;&lt;authors&gt;&lt;author&gt;Quandt, Amy&lt;/author&gt;&lt;/authors&gt;&lt;/contributors&gt;&lt;titles&gt;&lt;title&gt;“You have to be resilient”: Producer perspectives to navigating a changing agricultural system in California, USA&lt;/title&gt;&lt;secondary-title&gt;Agricultural Systems&lt;/secondary-title&gt;&lt;/titles&gt;&lt;periodical&gt;&lt;full-title&gt;Agricultural Systems&lt;/full-title&gt;&lt;/periodical&gt;&lt;volume&gt;207&lt;/volume&gt;&lt;section&gt;103630&lt;/section&gt;&lt;dates&gt;&lt;year&gt;2023&lt;/year&gt;&lt;/dates&gt;&lt;isbn&gt;0308521X&lt;/isbn&gt;&lt;urls&gt;&lt;/urls&gt;&lt;electronic-resource-num&gt;10.1016/j.agsy.2023.103630&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"_ENREF_37" \o "Quandt, 2023 #41" </w:instrText>
      </w:r>
      <w:r>
        <w:fldChar w:fldCharType="separate"/>
      </w:r>
      <w:r>
        <w:rPr>
          <w:rStyle w:val="23"/>
          <w:rFonts w:hint="eastAsia"/>
        </w:rPr>
        <w:t>Quandt, 2023</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Two m</w:t>
      </w:r>
      <w:r>
        <w:rPr>
          <w:rFonts w:hint="eastAsia" w:ascii="Times New Roman" w:hAnsi="Times New Roman" w:cs="Times New Roman"/>
          <w:szCs w:val="24"/>
        </w:rPr>
        <w:t xml:space="preserve">ain methodological </w:t>
      </w:r>
      <w:r>
        <w:rPr>
          <w:rFonts w:ascii="Times New Roman" w:hAnsi="Times New Roman" w:cs="Times New Roman"/>
          <w:szCs w:val="24"/>
        </w:rPr>
        <w:t xml:space="preserve">approaches are generally </w:t>
      </w:r>
      <w:r>
        <w:rPr>
          <w:rFonts w:hint="default" w:ascii="Times New Roman" w:hAnsi="Times New Roman" w:cs="Times New Roman"/>
          <w:szCs w:val="24"/>
        </w:rPr>
        <w:t>employed</w:t>
      </w:r>
      <w:r>
        <w:rPr>
          <w:rFonts w:ascii="Times New Roman" w:hAnsi="Times New Roman" w:cs="Times New Roman"/>
          <w:szCs w:val="24"/>
        </w:rPr>
        <w:t xml:space="preserve"> to measure resilience: comprehensive evaluation methods based on multidimensional indicator systems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&lt;EndNote&gt;&lt;Cite&gt;&lt;Author&gt;Cui&lt;/Author&gt;&lt;Year&gt;2023&lt;/Year&gt;&lt;RecNum&gt;42&lt;/RecNum&gt;&lt;DisplayText&gt; (Cui et al., 2023)&lt;/DisplayText&gt;&lt;record&gt;&lt;rec-number&gt;42&lt;/rec-number&gt;&lt;foreign-keys&gt;&lt;key app="EN" db-id="dv0v2adwc2etf1ep9tapzzz5vffpepr5wxwa" timestamp="1765093543"&gt;42&lt;/key&gt;&lt;/foreign-keys&gt;&lt;ref-type name="Journal Article"&gt;17&lt;/ref-type&gt;&lt;contributors&gt;&lt;authors&gt;&lt;author&gt;Cui, Zhizhen&lt;/author&gt;&lt;author&gt;Li, Erling&lt;/author&gt;&lt;author&gt;Li, Yuheng&lt;/author&gt;&lt;author&gt;Deng, Qingqing&lt;/author&gt;&lt;author&gt;Shahtahmassebi, AmirReza&lt;/author&gt;&lt;/authors&gt;&lt;/contributors&gt;&lt;titles&gt;&lt;title&gt;The impact of poverty alleviation policies on rural economic resilience in impoverished areas: A case study of Lankao County, China&lt;/title&gt;&lt;secondary-title&gt;Journal of Rural Studies&lt;/secondary-title&gt;&lt;/titles&gt;&lt;periodical&gt;&lt;full-title&gt;Journal of Rural Studies&lt;/full-title&gt;&lt;/periodical&gt;&lt;pages&gt;92-106&lt;/pages&gt;&lt;volume&gt;99&lt;/volume&gt;&lt;dates&gt;&lt;year&gt;2023&lt;/year&gt;&lt;/dates&gt;&lt;isbn&gt;0743-0167&lt;/isbn&gt;&lt;urls&gt;&lt;/urls&gt;&lt;electronic-resource-num&gt;10.1016/j.jrurstud.2023.03.007&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"_ENREF_7" \o "Cui, 2023 #42" </w:instrText>
      </w:r>
      <w:r>
        <w:fldChar w:fldCharType="separate"/>
      </w:r>
      <w:r>
        <w:rPr>
          <w:rStyle w:val="23"/>
          <w:rFonts w:hint="eastAsia"/>
        </w:rPr>
        <w:t>Cui et al., 2023</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and single-indicator approaches</w:t>
      </w:r>
      <w:r>
        <w:rPr>
          <w:rFonts w:hint="eastAsia" w:ascii="Times New Roman" w:hAnsi="Times New Roman" w:cs="Times New Roman"/>
          <w:szCs w:val="24"/>
        </w:rPr>
        <w:t xml:space="preserve"> </w:t>
      </w:r>
      <w:r>
        <w:rPr>
          <w:rFonts w:ascii="Times New Roman" w:hAnsi="Times New Roman" w:cs="Times New Roman"/>
          <w:szCs w:val="24"/>
        </w:rPr>
        <w:t>rely</w:t>
      </w:r>
      <w:r>
        <w:rPr>
          <w:rFonts w:hint="eastAsia" w:ascii="Times New Roman" w:hAnsi="Times New Roman" w:cs="Times New Roman"/>
          <w:szCs w:val="24"/>
          <w:lang w:val="en-US" w:eastAsia="zh-CN"/>
        </w:rPr>
        <w:t>ing</w:t>
      </w:r>
      <w:r>
        <w:rPr>
          <w:rFonts w:ascii="Times New Roman" w:hAnsi="Times New Roman" w:cs="Times New Roman"/>
          <w:szCs w:val="24"/>
        </w:rPr>
        <w:t xml:space="preserve"> on core proxy variables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&lt;EndNote&gt;&lt;Cite&gt;&lt;Author&gt;Yang&lt;/Author&gt;&lt;Year&gt;2025&lt;/Year&gt;&lt;RecNum&gt;43&lt;/RecNum&gt;&lt;DisplayText&gt; (Yang et al., 2025b)&lt;/DisplayText&gt;&lt;record&gt;&lt;rec-number&gt;43&lt;/rec-number&gt;&lt;foreign-keys&gt;&lt;key app="EN" db-id="dv0v2adwc2etf1ep9tapzzz5vffpepr5wxwa" timestamp="1765093625"&gt;43&lt;/key&gt;&lt;/foreign-keys&gt;&lt;ref-type name="Journal Article"&gt;17&lt;/ref-type&gt;&lt;contributors&gt;&lt;authors&gt;&lt;author&gt;Yang, Zongzhi&lt;/author&gt;&lt;author&gt;Li, Yali&lt;/author&gt;&lt;author&gt;Wu, Chanti&lt;/author&gt;&lt;/authors&gt;&lt;/contributors&gt;&lt;titles&gt;&lt;title&gt;Population aging, fintech, and agricultural economic resilience&lt;/title&gt;&lt;secondary-title&gt;International Review of Economics &amp;amp; Finance&lt;/secondary-title&gt;&lt;/titles&gt;&lt;periodical&gt;&lt;full-title&gt;International Review of Economics &amp;amp; Finance&lt;/full-title&gt;&lt;/periodical&gt;&lt;volume&gt;97&lt;/volume&gt;&lt;section&gt;103756&lt;/section&gt;&lt;dates&gt;&lt;year&gt;2025&lt;/year&gt;&lt;/dates&gt;&lt;isbn&gt;10590560&lt;/isbn&gt;&lt;urls&gt;&lt;/urls&gt;&lt;electronic-resource-num&gt;10.1016/j.iref.2024.103756&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"_ENREF_55" \o "Yang, 2025 #43" </w:instrText>
      </w:r>
      <w:r>
        <w:fldChar w:fldCharType="separate"/>
      </w:r>
      <w:r>
        <w:rPr>
          <w:rStyle w:val="23"/>
          <w:rFonts w:hint="eastAsia"/>
        </w:rPr>
        <w:t>Yang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Studies on</w:t>
      </w:r>
      <w:r>
        <w:rPr>
          <w:rFonts w:ascii="Times New Roman" w:hAnsi="Times New Roman" w:cs="Times New Roman"/>
          <w:szCs w:val="24"/>
        </w:rPr>
        <w:t xml:space="preserve"> its determinants</w:t>
      </w:r>
      <w:r>
        <w:rPr>
          <w:rFonts w:hint="eastAsia" w:ascii="Times New Roman" w:hAnsi="Times New Roman" w:cs="Times New Roman"/>
          <w:szCs w:val="24"/>
        </w:rPr>
        <w:t xml:space="preserve"> </w:t>
      </w:r>
      <w:r>
        <w:rPr>
          <w:rFonts w:ascii="Times New Roman" w:hAnsi="Times New Roman" w:cs="Times New Roman"/>
          <w:szCs w:val="24"/>
        </w:rPr>
        <w:t xml:space="preserve">have </w:t>
      </w:r>
      <w:r>
        <w:rPr>
          <w:rFonts w:hint="eastAsia" w:ascii="Times New Roman" w:hAnsi="Times New Roman" w:cs="Times New Roman"/>
          <w:szCs w:val="24"/>
        </w:rPr>
        <w:t>highlight</w:t>
      </w:r>
      <w:r>
        <w:rPr>
          <w:rFonts w:ascii="Times New Roman" w:hAnsi="Times New Roman" w:cs="Times New Roman"/>
          <w:szCs w:val="24"/>
        </w:rPr>
        <w:t>ed the roles of digital inclusive finance</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&lt;EndNote&gt;&lt;Cite&gt;&lt;Author&gt;Gao&lt;/Author&gt;&lt;Year&gt;2024&lt;/Year&gt;&lt;RecNum&gt;44&lt;/RecNum&gt;&lt;DisplayText&gt; (Gao et al., 2024; Du et al., 2023)&lt;/DisplayText&gt;&lt;record&gt;&lt;rec-number&gt;44&lt;/rec-number&gt;&lt;foreign-keys&gt;&lt;key app="EN" db-id="dv0v2adwc2etf1ep9tapzzz5vffpepr5wxwa" timestamp="1765093706"&gt;44&lt;/key&gt;&lt;/foreign-keys&gt;&lt;ref-type name="Journal Article"&gt;17&lt;/ref-type&gt;&lt;contributors&gt;&lt;authors&gt;&lt;author&gt;Gao, Qiang&lt;/author&gt;&lt;author&gt;Sun, Mengyuan&lt;/author&gt;&lt;author&gt;Chen, Lu&lt;/author&gt;&lt;/authors&gt;&lt;/contributors&gt;&lt;titles&gt;&lt;title&gt;The impact of digital inclusive finance on agricultural economic resilience&lt;/title&gt;&lt;secondary-title&gt;Finance Research Letters&lt;/secondary-title&gt;&lt;/titles&gt;&lt;periodical&gt;&lt;full-title&gt;Finance Research Letters&lt;/full-title&gt;&lt;/periodical&gt;&lt;pages&gt;105679&lt;/pages&gt;&lt;volume&gt;66&lt;/volume&gt;&lt;dates&gt;&lt;year&gt;2024&lt;/year&gt;&lt;/dates&gt;&lt;isbn&gt;1544-6123&lt;/isbn&gt;&lt;urls&gt;&lt;/urls&gt;&lt;electronic-resource-num&gt;10.1016/j.frl.2024.105679&lt;/electronic-resource-num&gt;&lt;/record&gt;&lt;/Cite&gt;&lt;Cite&gt;&lt;Author&gt;Du&lt;/Author&gt;&lt;Year&gt;2023&lt;/Year&gt;&lt;RecNum&gt;45&lt;/RecNum&gt;&lt;record&gt;&lt;rec-number&gt;45&lt;/rec-number&gt;&lt;foreign-keys&gt;&lt;key app="EN" db-id="dv0v2adwc2etf1ep9tapzzz5vffpepr5wxwa" timestamp="1765093752"&gt;45&lt;/key&gt;&lt;/foreign-keys&gt;&lt;ref-type name="Journal Article"&gt;17&lt;/ref-type&gt;&lt;contributors&gt;&lt;authors&gt;&lt;author&gt;Du, Yanan&lt;/author&gt;&lt;author&gt;Wang, Qingxi&lt;/author&gt;&lt;author&gt;Zhou, Jianping&lt;/author&gt;&lt;/authors&gt;&lt;/contributors&gt;&lt;titles&gt;&lt;title&gt;How does digital inclusive finance affect economic resilience: Evidence from 285 cities in China&lt;/title&gt;&lt;secondary-title&gt;International Review of Financial Analysis&lt;/secondary-title&gt;&lt;/titles&gt;&lt;periodical&gt;&lt;full-title&gt;International Review of Financial Analysis&lt;/full-title&gt;&lt;/periodical&gt;&lt;pages&gt;102709&lt;/pages&gt;&lt;volume&gt;88&lt;/volume&gt;&lt;dates&gt;&lt;year&gt;2023&lt;/year&gt;&lt;/dates&gt;&lt;isbn&gt;1057-5219&lt;/isbn&gt;&lt;urls&gt;&lt;/urls&gt;&lt;electronic-resource-num&gt;10.1016/j.irfa.2023.102709&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"_ENREF_10" \o "Du, 2023 #45" </w:instrText>
      </w:r>
      <w:r>
        <w:fldChar w:fldCharType="separate"/>
      </w:r>
      <w:r>
        <w:rPr>
          <w:rStyle w:val="23"/>
          <w:rFonts w:hint="eastAsia"/>
        </w:rPr>
        <w:t>Du et al., 2023</w:t>
      </w:r>
      <w:r>
        <w:rPr>
          <w:rStyle w:val="23"/>
          <w:rFonts w:hint="eastAsia"/>
        </w:rPr>
        <w:fldChar w:fldCharType="end"/>
      </w:r>
      <w:r>
        <w:rPr>
          <w:rFonts w:ascii="Times New Roman" w:hAnsi="Times New Roman" w:cs="Times New Roman"/>
          <w:szCs w:val="24"/>
        </w:rPr>
        <w:t xml:space="preserve">; </w:t>
      </w:r>
      <w:r>
        <w:fldChar w:fldCharType="begin"/>
      </w:r>
      <w:r>
        <w:instrText xml:space="preserve"> HYPERLINK \l "_ENREF_16" \o "Gao, 2024 #44" </w:instrText>
      </w:r>
      <w:r>
        <w:fldChar w:fldCharType="separate"/>
      </w:r>
      <w:r>
        <w:rPr>
          <w:rStyle w:val="23"/>
          <w:rFonts w:hint="eastAsia"/>
        </w:rPr>
        <w:t>Gao et al., 2024</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the</w:t>
      </w:r>
      <w:r>
        <w:rPr>
          <w:rFonts w:hint="eastAsia" w:ascii="Times New Roman" w:hAnsi="Times New Roman" w:cs="Times New Roman"/>
          <w:szCs w:val="24"/>
        </w:rPr>
        <w:t xml:space="preserve"> </w:t>
      </w:r>
      <w:r>
        <w:rPr>
          <w:rFonts w:ascii="Times New Roman" w:hAnsi="Times New Roman" w:cs="Times New Roman"/>
          <w:szCs w:val="24"/>
        </w:rPr>
        <w:t>digital economy</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&lt;EndNote&gt;&lt;Cite&gt;&lt;Author&gt;Quan&lt;/Author&gt;&lt;Year&gt;2024&lt;/Year&gt;&lt;RecNum&gt;46&lt;/RecNum&gt;&lt;DisplayText&gt; (Quan et al., 2024; Singh et al., 2023)&lt;/DisplayText&gt;&lt;record&gt;&lt;rec-number&gt;46&lt;/rec-number&gt;&lt;foreign-keys&gt;&lt;key app="EN" db-id="dv0v2adwc2etf1ep9tapzzz5vffpepr5wxwa" timestamp="1765093861"&gt;46&lt;/key&gt;&lt;/foreign-keys&gt;&lt;ref-type name="Journal Article"&gt;17&lt;/ref-type&gt;&lt;contributors&gt;&lt;authors&gt;&lt;author&gt;Quan, Tianshu&lt;/author&gt;&lt;author&gt;Zhang, Hui&lt;/author&gt;&lt;author&gt;Quan, Tianli&lt;/author&gt;&lt;author&gt;Yu, Yi&lt;/author&gt;&lt;/authors&gt;&lt;/contributors&gt;&lt;titles&gt;&lt;title&gt;Unveiling the impact and mechanism of digital technology on agricultural economic resilience&lt;/title&gt;&lt;secondary-title&gt;Chinese Journal of Population, Resources and Environment&lt;/secondary-title&gt;&lt;/titles&gt;&lt;periodical&gt;&lt;full-title&gt;Chinese Journal of Population, Resources and Environment&lt;/full-title&gt;&lt;/periodical&gt;&lt;pages&gt;136-145&lt;/pages&gt;&lt;volume&gt;22&lt;/volume&gt;&lt;number&gt;2&lt;/number&gt;&lt;section&gt;136&lt;/section&gt;&lt;dates&gt;&lt;year&gt;2024&lt;/year&gt;&lt;/dates&gt;&lt;isbn&gt;23254262&lt;/isbn&gt;&lt;urls&gt;&lt;/urls&gt;&lt;electronic-resource-num&gt;10.1016/j.cjpre.2024.06.004&lt;/electronic-resource-num&gt;&lt;/record&gt;&lt;/Cite&gt;&lt;Cite&gt;&lt;Author&gt;Singh&lt;/Author&gt;&lt;Year&gt;2023&lt;/Year&gt;&lt;RecNum&gt;47&lt;/RecNum&gt;&lt;record&gt;&lt;rec-number&gt;47&lt;/rec-number&gt;&lt;foreign-keys&gt;&lt;key app="EN" db-id="dv0v2adwc2etf1ep9tapzzz5vffpepr5wxwa" timestamp="1765093872"&gt;47&lt;/key&gt;&lt;/foreign-keys&gt;&lt;ref-type name="Journal Article"&gt;17&lt;/ref-type&gt;&lt;contributors&gt;&lt;authors&gt;&lt;author&gt;Singh, Neeraj&lt;/author&gt;&lt;author&gt;Kumar, Avinash&lt;/author&gt;&lt;author&gt;Dey, Kushankur&lt;/author&gt;&lt;/authors&gt;&lt;/contributors&gt;&lt;titles&gt;&lt;title&gt;Unlocking the potential of knowledge economy for rural resilience: The role of digital platforms&lt;/title&gt;&lt;secondary-title&gt;Journal of Rural Studies&lt;/secondary-title&gt;&lt;/titles&gt;&lt;periodical&gt;&lt;full-title&gt;Journal of Rural Studies&lt;/full-title&gt;&lt;/periodical&gt;&lt;pages&gt;103164&lt;/pages&gt;&lt;volume&gt;104&lt;/volume&gt;&lt;dates&gt;&lt;year&gt;2023&lt;/year&gt;&lt;/dates&gt;&lt;isbn&gt;0743-0167&lt;/isbn&gt;&lt;urls&gt;&lt;/urls&gt;&lt;electronic-resource-num&gt;10.1016/j.jrurstud.2023.103164&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"_ENREF_41" \o "Singh, 2023 #47" </w:instrText>
      </w:r>
      <w:r>
        <w:fldChar w:fldCharType="separate"/>
      </w:r>
      <w:r>
        <w:rPr>
          <w:rStyle w:val="23"/>
          <w:rFonts w:hint="eastAsia"/>
        </w:rPr>
        <w:t>Singh et al., 2023</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population aging</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&lt;EndNote&gt;&lt;Cite&gt;&lt;Author&gt;Han&lt;/Author&gt;&lt;Year&gt;2025&lt;/Year&gt;&lt;RecNum&gt;48&lt;/RecNum&gt;&lt;DisplayText&gt; (Han et al., 2025)&lt;/DisplayText&gt;&lt;record&gt;&lt;rec-number&gt;48&lt;/rec-number&gt;&lt;foreign-keys&gt;&lt;key app="EN" db-id="dv0v2adwc2etf1ep9tapzzz5vffpepr5wxwa" timestamp="1765093962"&gt;48&lt;/key&gt;&lt;/foreign-keys&gt;&lt;ref-type name="Journal Article"&gt;17&lt;/ref-type&gt;&lt;contributors&gt;&lt;authors&gt;&lt;author&gt;Han, Peng&lt;/author&gt;&lt;author&gt;Liu, Hanfeng&lt;/author&gt;&lt;author&gt;Chen, Yuhe&lt;/author&gt;&lt;/authors&gt;&lt;/contributors&gt;&lt;titles&gt;&lt;title&gt;Aging, financial coverage, and agricultural economic resilience: Nonlinear dynamics and thresholds&lt;/title&gt;&lt;secondary-title&gt;Finance Research Letters&lt;/secondary-title&gt;&lt;/titles&gt;&lt;periodical&gt;&lt;full-title&gt;Finance Research Letters&lt;/full-title&gt;&lt;/periodical&gt;&lt;pages&gt;e107518&lt;/pages&gt;&lt;dates&gt;&lt;year&gt;2025&lt;/year&gt;&lt;/dates&gt;&lt;isbn&gt;1544-6123&lt;/isbn&gt;&lt;urls&gt;&lt;/urls&gt;&lt;electronic-resource-num&gt;10.1016/j.frl.2025.107518&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"_ENREF_18" \o "Han, 2025 #48" </w:instrText>
      </w:r>
      <w:r>
        <w:fldChar w:fldCharType="separate"/>
      </w:r>
      <w:r>
        <w:rPr>
          <w:rStyle w:val="23"/>
          <w:rFonts w:hint="eastAsia"/>
        </w:rPr>
        <w:t>Han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and industrial agglomeration</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&lt;EndNote&gt;&lt;Cite&gt;&lt;Author&gt;Zheng&lt;/Author&gt;&lt;Year&gt;2023&lt;/Year&gt;&lt;RecNum&gt;49&lt;/RecNum&gt;&lt;DisplayText&gt; (Zheng et al., 2023)&lt;/DisplayText&gt;&lt;record&gt;&lt;rec-number&gt;49&lt;/rec-number&gt;&lt;foreign-keys&gt;&lt;key app="EN" db-id="dv0v2adwc2etf1ep9tapzzz5vffpepr5wxwa" timestamp="1765094072"&gt;49&lt;/key&gt;&lt;/foreign-keys&gt;&lt;ref-type name="Journal Article"&gt;17&lt;/ref-type&gt;&lt;contributors&gt;&lt;authors&gt;&lt;author&gt;Zheng, Ziyan&lt;/author&gt;&lt;author&gt;Zhu, Yingming&lt;/author&gt;&lt;author&gt;Pei, Yu&lt;/author&gt;&lt;author&gt;Wang, Litao&lt;/author&gt;&lt;/authors&gt;&lt;/contributors&gt;&lt;titles&gt;&lt;title&gt;Spatial–temporal heterogeneity and influencing factors of the coupling between industrial agglomeration and regional economic resilience in China&lt;/title&gt;&lt;secondary-title&gt;Environment, Development and Sustainability&lt;/secondary-title&gt;&lt;/titles&gt;&lt;periodical&gt;&lt;full-title&gt;Environment, Development and Sustainability&lt;/full-title&gt;&lt;/periodical&gt;&lt;pages&gt;12735-12759&lt;/pages&gt;&lt;volume&gt;25&lt;/volume&gt;&lt;number&gt;11&lt;/number&gt;&lt;dates&gt;&lt;year&gt;2023&lt;/year&gt;&lt;/dates&gt;&lt;isbn&gt;1387-585X&lt;/isbn&gt;&lt;urls&gt;&lt;/urls&gt;&lt;electronic-resource-num&gt;10.1007/s10668-022-02588-w&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"_ENREF_57" \o "Zheng, 2023 #49" </w:instrText>
      </w:r>
      <w:r>
        <w:fldChar w:fldCharType="separate"/>
      </w:r>
      <w:r>
        <w:rPr>
          <w:rStyle w:val="23"/>
          <w:rFonts w:hint="eastAsia"/>
        </w:rPr>
        <w:t>Zheng et al., 2023</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 xml:space="preserve">The second strand of research explores the relationship between </w:t>
      </w:r>
      <w:r>
        <w:rPr>
          <w:rFonts w:hint="eastAsia" w:ascii="Times New Roman" w:hAnsi="Times New Roman" w:cs="Times New Roman"/>
          <w:szCs w:val="24"/>
          <w:lang w:val="en-US" w:eastAsia="zh-CN"/>
        </w:rPr>
        <w:t>NTU</w:t>
      </w:r>
      <w:r>
        <w:rPr>
          <w:rFonts w:ascii="Times New Roman" w:hAnsi="Times New Roman" w:cs="Times New Roman"/>
          <w:szCs w:val="24"/>
        </w:rPr>
        <w:t xml:space="preserve"> and agricultural development. In contrast to traditional urbanization, which primarily emphasizes spatial expansion, </w:t>
      </w:r>
      <w:r>
        <w:rPr>
          <w:rFonts w:hint="eastAsia" w:ascii="Times New Roman" w:hAnsi="Times New Roman" w:cs="Times New Roman"/>
          <w:szCs w:val="24"/>
          <w:lang w:val="en-US" w:eastAsia="zh-CN"/>
        </w:rPr>
        <w:t>NTU</w:t>
      </w:r>
      <w:r>
        <w:rPr>
          <w:rFonts w:ascii="Times New Roman" w:hAnsi="Times New Roman" w:cs="Times New Roman"/>
          <w:szCs w:val="24"/>
        </w:rPr>
        <w:t xml:space="preserve"> </w:t>
      </w:r>
      <w:r>
        <w:rPr>
          <w:rFonts w:hint="eastAsia" w:ascii="Times New Roman" w:hAnsi="Times New Roman" w:cs="Times New Roman"/>
          <w:szCs w:val="24"/>
        </w:rPr>
        <w:t>emphasize</w:t>
      </w:r>
      <w:r>
        <w:rPr>
          <w:rFonts w:ascii="Times New Roman" w:hAnsi="Times New Roman" w:cs="Times New Roman"/>
          <w:szCs w:val="24"/>
        </w:rPr>
        <w:t>s coordinated urban</w:t>
      </w:r>
      <w:r>
        <w:rPr>
          <w:rFonts w:hint="eastAsia" w:ascii="Times New Roman" w:hAnsi="Times New Roman" w:cs="Times New Roman"/>
          <w:szCs w:val="24"/>
        </w:rPr>
        <w:t>-</w:t>
      </w:r>
      <w:r>
        <w:rPr>
          <w:rFonts w:ascii="Times New Roman" w:hAnsi="Times New Roman" w:cs="Times New Roman"/>
          <w:szCs w:val="24"/>
        </w:rPr>
        <w:t>rural development, conservation of agricultural resources, and the enhancement of farmers’</w:t>
      </w:r>
      <w:r>
        <w:rPr>
          <w:rFonts w:hint="eastAsia" w:ascii="Times New Roman" w:hAnsi="Times New Roman" w:cs="Times New Roman"/>
          <w:szCs w:val="24"/>
        </w:rPr>
        <w:t xml:space="preserve"> </w:t>
      </w:r>
      <w:r>
        <w:rPr>
          <w:rFonts w:ascii="Times New Roman" w:hAnsi="Times New Roman" w:cs="Times New Roman"/>
          <w:szCs w:val="24"/>
        </w:rPr>
        <w:t>wel</w:t>
      </w:r>
      <w:r>
        <w:rPr>
          <w:rFonts w:hint="eastAsia" w:ascii="Times New Roman" w:hAnsi="Times New Roman" w:cs="Times New Roman"/>
          <w:szCs w:val="24"/>
        </w:rPr>
        <w:t>fare</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&lt;EndNote&gt;&lt;Cite&gt;&lt;Author&gt;Chen&lt;/Author&gt;&lt;Year&gt;2025&lt;/Year&gt;&lt;RecNum&gt;50&lt;/RecNum&gt;&lt;DisplayText&gt; (Chen et al., 2025)&lt;/DisplayText&gt;&lt;record&gt;&lt;rec-number&gt;50&lt;/rec-number&gt;&lt;foreign-keys&gt;&lt;key app="EN" db-id="dv0v2adwc2etf1ep9tapzzz5vffpepr5wxwa" timestamp="1765094152"&gt;50&lt;/key&gt;&lt;/foreign-keys&gt;&lt;ref-type name="Journal Article"&gt;17&lt;/ref-type&gt;&lt;contributors&gt;&lt;authors&gt;&lt;author&gt;Chen, Rui&lt;/author&gt;&lt;author&gt;Wang, Yufeng&lt;/author&gt;&lt;author&gt;Wang, Qi&lt;/author&gt;&lt;author&gt;Zhang, Lingling&lt;/author&gt;&lt;author&gt;Xiong, Ruoxi&lt;/author&gt;&lt;/authors&gt;&lt;/contributors&gt;&lt;titles&gt;&lt;title&gt;Unleashing the digital dividend: Exploring how the digital economy promotes the construction of new urbanization in China’s 284 prefecture-level cities?&lt;/title&gt;&lt;secondary-title&gt;Economic Analysis and Policy&lt;/secondary-title&gt;&lt;/titles&gt;&lt;periodical&gt;&lt;full-title&gt;Economic Analysis and Policy&lt;/full-title&gt;&lt;/periodical&gt;&lt;pages&gt;818-834&lt;/pages&gt;&lt;volume&gt;85&lt;/volume&gt;&lt;dates&gt;&lt;year&gt;2025&lt;/year&gt;&lt;/dates&gt;&lt;isbn&gt;0313-5926&lt;/isbn&gt;&lt;urls&gt;&lt;/urls&gt;&lt;electronic-resource-num&gt;10.1016/j.eap.2024.12.028&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"_ENREF_6" \o "Chen, 2025 #50" </w:instrText>
      </w:r>
      <w:r>
        <w:fldChar w:fldCharType="separate"/>
      </w:r>
      <w:r>
        <w:rPr>
          <w:rStyle w:val="23"/>
          <w:rFonts w:hint="eastAsia"/>
        </w:rPr>
        <w:t>Chen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 xml:space="preserve">By facilitating the bidirectional flow of capital, technology, and talent between urban and rural areas, </w:t>
      </w:r>
      <w:r>
        <w:rPr>
          <w:rFonts w:hint="eastAsia" w:ascii="Times New Roman" w:hAnsi="Times New Roman" w:cs="Times New Roman"/>
          <w:szCs w:val="24"/>
          <w:lang w:val="en-US" w:eastAsia="zh-CN"/>
        </w:rPr>
        <w:t>NTU</w:t>
      </w:r>
      <w:r>
        <w:rPr>
          <w:rFonts w:ascii="Times New Roman" w:hAnsi="Times New Roman" w:cs="Times New Roman"/>
          <w:szCs w:val="24"/>
        </w:rPr>
        <w:t xml:space="preserve"> </w:t>
      </w:r>
      <w:r>
        <w:rPr>
          <w:rFonts w:hint="eastAsia" w:ascii="Times New Roman" w:hAnsi="Times New Roman" w:cs="Times New Roman"/>
          <w:szCs w:val="24"/>
        </w:rPr>
        <w:t>mitigate</w:t>
      </w:r>
      <w:r>
        <w:rPr>
          <w:rFonts w:ascii="Times New Roman" w:hAnsi="Times New Roman" w:cs="Times New Roman"/>
          <w:szCs w:val="24"/>
        </w:rPr>
        <w:t>s the unidirectional</w:t>
      </w:r>
      <w:r>
        <w:rPr>
          <w:rFonts w:hint="eastAsia" w:ascii="Times New Roman" w:hAnsi="Times New Roman" w:cs="Times New Roman"/>
          <w:szCs w:val="24"/>
        </w:rPr>
        <w:t xml:space="preserve"> </w:t>
      </w:r>
      <w:r>
        <w:rPr>
          <w:rFonts w:ascii="Times New Roman" w:hAnsi="Times New Roman" w:cs="Times New Roman"/>
          <w:szCs w:val="24"/>
        </w:rPr>
        <w:t>resource</w:t>
      </w:r>
      <w:r>
        <w:rPr>
          <w:rFonts w:hint="eastAsia" w:ascii="Times New Roman" w:hAnsi="Times New Roman" w:cs="Times New Roman"/>
          <w:szCs w:val="24"/>
        </w:rPr>
        <w:t xml:space="preserve"> </w:t>
      </w:r>
      <w:r>
        <w:rPr>
          <w:rFonts w:ascii="Times New Roman" w:hAnsi="Times New Roman" w:cs="Times New Roman"/>
          <w:szCs w:val="24"/>
        </w:rPr>
        <w:t xml:space="preserve">drain </w:t>
      </w:r>
      <w:r>
        <w:rPr>
          <w:rFonts w:hint="default" w:ascii="Times New Roman" w:hAnsi="Times New Roman" w:cs="Times New Roman"/>
          <w:szCs w:val="24"/>
        </w:rPr>
        <w:t>characteristic</w:t>
      </w:r>
      <w:r>
        <w:rPr>
          <w:rFonts w:hint="eastAsia" w:ascii="Times New Roman" w:hAnsi="Times New Roman" w:cs="Times New Roman"/>
          <w:szCs w:val="24"/>
        </w:rPr>
        <w:t xml:space="preserve"> </w:t>
      </w:r>
      <w:r>
        <w:rPr>
          <w:rFonts w:ascii="Times New Roman" w:hAnsi="Times New Roman" w:cs="Times New Roman"/>
          <w:szCs w:val="24"/>
        </w:rPr>
        <w:t>of conventional urbanization and promotes</w:t>
      </w:r>
      <w:r>
        <w:rPr>
          <w:rFonts w:hint="eastAsia" w:ascii="Times New Roman" w:hAnsi="Times New Roman" w:cs="Times New Roman"/>
          <w:szCs w:val="24"/>
        </w:rPr>
        <w:t xml:space="preserve"> the cross-regional</w:t>
      </w:r>
      <w:r>
        <w:rPr>
          <w:rFonts w:ascii="Times New Roman" w:hAnsi="Times New Roman" w:cs="Times New Roman"/>
          <w:szCs w:val="24"/>
        </w:rPr>
        <w:t xml:space="preserve"> optim</w:t>
      </w:r>
      <w:r>
        <w:rPr>
          <w:rFonts w:hint="eastAsia" w:ascii="Times New Roman" w:hAnsi="Times New Roman" w:cs="Times New Roman"/>
          <w:szCs w:val="24"/>
        </w:rPr>
        <w:t>ization of</w:t>
      </w:r>
      <w:r>
        <w:rPr>
          <w:rFonts w:ascii="Times New Roman" w:hAnsi="Times New Roman" w:cs="Times New Roman"/>
          <w:szCs w:val="24"/>
        </w:rPr>
        <w:t xml:space="preserve"> production factors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&lt;EndNote&gt;&lt;Cite&gt;&lt;Author&gt;Li&lt;/Author&gt;&lt;Year&gt;2022&lt;/Year&gt;&lt;RecNum&gt;51&lt;/RecNum&gt;&lt;DisplayText&gt; (Li &amp;amp; Jiang, 2022)&lt;/DisplayText&gt;&lt;record&gt;&lt;rec-number&gt;51&lt;/rec-number&gt;&lt;foreign-keys&gt;&lt;key app="EN" db-id="dv0v2adwc2etf1ep9tapzzz5vffpepr5wxwa" timestamp="1765094248"&gt;51&lt;/key&gt;&lt;/foreign-keys&gt;&lt;ref-type name="Journal Article"&gt;17&lt;/ref-type&gt;&lt;contributors&gt;&lt;authors&gt;&lt;author&gt;Li, Shengzhu&lt;/author&gt;&lt;author&gt;Jiang, Fan&lt;/author&gt;&lt;/authors&gt;&lt;/contributors&gt;&lt;titles&gt;&lt;title&gt;A collaborative evolutionary model: The self-organizing evolutionary process of urban–rural digital sharing system of social public resources&lt;/title&gt;&lt;secondary-title&gt;Journal of Economic Interaction and Coordination&lt;/secondary-title&gt;&lt;/titles&gt;&lt;periodical&gt;&lt;full-title&gt;Journal of Economic Interaction and Coordination&lt;/full-title&gt;&lt;/periodical&gt;&lt;pages&gt;1115-1137&lt;/pages&gt;&lt;volume&gt;17&lt;/volume&gt;&lt;number&gt;4&lt;/number&gt;&lt;dates&gt;&lt;year&gt;2022&lt;/year&gt;&lt;/dates&gt;&lt;isbn&gt;1860-711X&lt;/isbn&gt;&lt;urls&gt;&lt;/urls&gt;&lt;electronic-resource-num&gt;10.1007/s11403-022-00362-9&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"_ENREF_25" \o "Li, 2022 #51" </w:instrText>
      </w:r>
      <w:r>
        <w:fldChar w:fldCharType="separate"/>
      </w:r>
      <w:r>
        <w:rPr>
          <w:rStyle w:val="23"/>
          <w:rFonts w:hint="eastAsia"/>
        </w:rPr>
        <w:t>Li &amp; Jiang, 2022</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 xml:space="preserve">Within this </w:t>
      </w:r>
      <w:r>
        <w:rPr>
          <w:rFonts w:hint="eastAsia" w:ascii="Times New Roman" w:hAnsi="Times New Roman" w:cs="Times New Roman"/>
          <w:szCs w:val="24"/>
        </w:rPr>
        <w:t>framework</w:t>
      </w:r>
      <w:r>
        <w:rPr>
          <w:rFonts w:ascii="Times New Roman" w:hAnsi="Times New Roman" w:cs="Times New Roman"/>
          <w:szCs w:val="24"/>
        </w:rPr>
        <w:t>, research has increasingly focused on themes such as</w:t>
      </w:r>
      <w:r>
        <w:rPr>
          <w:rFonts w:hint="eastAsia" w:ascii="Times New Roman" w:hAnsi="Times New Roman" w:cs="Times New Roman"/>
          <w:szCs w:val="24"/>
        </w:rPr>
        <w:t xml:space="preserve"> </w:t>
      </w:r>
      <w:r>
        <w:rPr>
          <w:rFonts w:ascii="Times New Roman" w:hAnsi="Times New Roman" w:cs="Times New Roman"/>
          <w:szCs w:val="24"/>
        </w:rPr>
        <w:t>the agricultural ecological environment</w:t>
      </w:r>
      <w:r>
        <w:rPr>
          <w:rFonts w:hint="eastAsia" w:ascii="Times New Roman" w:hAnsi="Times New Roman" w:cs="Times New Roman"/>
          <w:szCs w:val="24"/>
        </w:rPr>
        <w:t xml:space="preserve">, </w:t>
      </w:r>
      <w:r>
        <w:rPr>
          <w:rFonts w:ascii="Times New Roman" w:hAnsi="Times New Roman" w:cs="Times New Roman"/>
          <w:szCs w:val="24"/>
        </w:rPr>
        <w:t>low-carbon agriculture</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&lt;EndNote&gt;&lt;Cite&gt;&lt;Author&gt;Zhou&lt;/Author&gt;&lt;Year&gt;2024&lt;/Year&gt;&lt;RecNum&gt;53&lt;/RecNum&gt;&lt;DisplayText&gt; (Zhou et al., 2024)&lt;/DisplayText&gt;&lt;record&gt;&lt;rec-number&gt;53&lt;/rec-number&gt;&lt;foreign-keys&gt;&lt;key app="EN" db-id="dv0v2adwc2etf1ep9tapzzz5vffpepr5wxwa" timestamp="1765094409"&gt;53&lt;/key&gt;&lt;/foreign-keys&gt;&lt;ref-type name="Journal Article"&gt;17&lt;/ref-type&gt;&lt;contributors&gt;&lt;authors&gt;&lt;author&gt;Zhou, Ju&lt;/author&gt;&lt;author&gt;Xu, Ning&lt;/author&gt;&lt;author&gt;Zhang, Wenjie&lt;/author&gt;&lt;author&gt;Ning, Xueping&lt;/author&gt;&lt;/authors&gt;&lt;/contributors&gt;&lt;titles&gt;&lt;title&gt;Can agricultural low-carbon development benefit from urbanization?-Empirical evidence from China&amp;apos;s new-type urbanization pilot policy&lt;/title&gt;&lt;secondary-title&gt;Journal of Cleaner Production&lt;/secondary-title&gt;&lt;/titles&gt;&lt;periodical&gt;&lt;full-title&gt;Journal of Cleaner Production&lt;/full-title&gt;&lt;/periodical&gt;&lt;pages&gt;140388&lt;/pages&gt;&lt;volume&gt;435&lt;/volume&gt;&lt;dates&gt;&lt;year&gt;2024&lt;/year&gt;&lt;/dates&gt;&lt;isbn&gt;0959-6526&lt;/isbn&gt;&lt;urls&gt;&lt;/urls&gt;&lt;electronic-resource-num&gt;10.1016/j.jclepro.2023.140388&lt;/electronic-resource-num&gt;&lt;/record&gt;&lt;/Cite&gt;&lt;/EndNote&gt;</w:instrText>
      </w:r>
      <w:r>
        <w:rPr>
          <w:rFonts w:ascii="Times New Roman" w:hAnsi="Times New Roman" w:cs="Times New Roman"/>
          <w:szCs w:val="24"/>
        </w:rPr>
        <w:fldChar w:fldCharType="separate"/>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and the agricultural digital economy</w:t>
      </w:r>
      <w:r>
        <w:rPr>
          <w:rFonts w:hint="eastAsia" w:ascii="Times New Roman" w:hAnsi="Times New Roman" w:cs="Times New Roman"/>
          <w:szCs w:val="24"/>
        </w:rPr>
        <w:t xml:space="preserve">. </w:t>
      </w:r>
      <w:bookmarkEnd w:id="5"/>
      <w:r>
        <w:rPr>
          <w:rFonts w:ascii="Times New Roman" w:hAnsi="Times New Roman" w:cs="Times New Roman"/>
          <w:szCs w:val="24"/>
        </w:rPr>
        <w:t xml:space="preserve">However, empirical studies </w:t>
      </w:r>
      <w:r>
        <w:rPr>
          <w:rFonts w:hint="eastAsia" w:ascii="Times New Roman" w:hAnsi="Times New Roman" w:cs="Times New Roman"/>
          <w:szCs w:val="24"/>
        </w:rPr>
        <w:t xml:space="preserve">that </w:t>
      </w:r>
      <w:r>
        <w:rPr>
          <w:rFonts w:ascii="Times New Roman" w:hAnsi="Times New Roman" w:cs="Times New Roman"/>
          <w:szCs w:val="24"/>
        </w:rPr>
        <w:t>explicitly investigat</w:t>
      </w:r>
      <w:r>
        <w:rPr>
          <w:rFonts w:hint="eastAsia" w:ascii="Times New Roman" w:hAnsi="Times New Roman" w:cs="Times New Roman"/>
          <w:szCs w:val="24"/>
        </w:rPr>
        <w:t>e</w:t>
      </w:r>
      <w:r>
        <w:rPr>
          <w:rFonts w:ascii="Times New Roman" w:hAnsi="Times New Roman" w:cs="Times New Roman"/>
          <w:szCs w:val="24"/>
        </w:rPr>
        <w:t xml:space="preserve"> the mechanism</w:t>
      </w:r>
      <w:r>
        <w:rPr>
          <w:rFonts w:hint="eastAsia" w:ascii="Times New Roman" w:hAnsi="Times New Roman" w:cs="Times New Roman"/>
          <w:szCs w:val="24"/>
        </w:rPr>
        <w:t>s</w:t>
      </w:r>
      <w:r>
        <w:rPr>
          <w:rFonts w:ascii="Times New Roman" w:hAnsi="Times New Roman" w:cs="Times New Roman"/>
          <w:szCs w:val="24"/>
        </w:rPr>
        <w:t xml:space="preserve"> through which </w:t>
      </w:r>
      <w:r>
        <w:rPr>
          <w:rFonts w:hint="eastAsia" w:ascii="Times New Roman" w:hAnsi="Times New Roman" w:cs="Times New Roman"/>
          <w:szCs w:val="24"/>
          <w:lang w:val="en-US" w:eastAsia="zh-CN"/>
        </w:rPr>
        <w:t>NTU</w:t>
      </w:r>
      <w:r>
        <w:rPr>
          <w:rFonts w:ascii="Times New Roman" w:hAnsi="Times New Roman" w:cs="Times New Roman"/>
          <w:szCs w:val="24"/>
        </w:rPr>
        <w:t xml:space="preserve"> influences </w:t>
      </w:r>
      <w:r>
        <w:rPr>
          <w:rFonts w:hint="eastAsia" w:ascii="Times New Roman" w:hAnsi="Times New Roman" w:cs="Times New Roman"/>
          <w:szCs w:val="24"/>
          <w:lang w:val="en-US" w:eastAsia="zh-CN"/>
        </w:rPr>
        <w:t>AER</w:t>
      </w:r>
      <w:r>
        <w:rPr>
          <w:rFonts w:hint="eastAsia" w:ascii="Times New Roman" w:hAnsi="Times New Roman" w:cs="Times New Roman"/>
          <w:szCs w:val="24"/>
        </w:rPr>
        <w:t>-</w:t>
      </w:r>
      <w:r>
        <w:rPr>
          <w:rFonts w:ascii="Times New Roman" w:hAnsi="Times New Roman" w:cs="Times New Roman"/>
          <w:szCs w:val="24"/>
        </w:rPr>
        <w:t xml:space="preserve">particularly from a systemic </w:t>
      </w:r>
      <w:r>
        <w:rPr>
          <w:rFonts w:hint="eastAsia" w:ascii="Times New Roman" w:hAnsi="Times New Roman" w:cs="Times New Roman"/>
          <w:szCs w:val="24"/>
        </w:rPr>
        <w:t xml:space="preserve">and holistic </w:t>
      </w:r>
      <w:r>
        <w:rPr>
          <w:rFonts w:ascii="Times New Roman" w:hAnsi="Times New Roman" w:cs="Times New Roman"/>
          <w:szCs w:val="24"/>
        </w:rPr>
        <w:t>perspective</w:t>
      </w:r>
      <w:r>
        <w:rPr>
          <w:rFonts w:hint="eastAsia" w:ascii="Times New Roman" w:hAnsi="Times New Roman" w:cs="Times New Roman"/>
          <w:szCs w:val="24"/>
        </w:rPr>
        <w:t>-</w:t>
      </w:r>
      <w:r>
        <w:rPr>
          <w:rFonts w:ascii="Times New Roman" w:hAnsi="Times New Roman" w:cs="Times New Roman"/>
          <w:szCs w:val="24"/>
        </w:rPr>
        <w:t>remain limited, highlighting the need</w:t>
      </w:r>
      <w:r>
        <w:rPr>
          <w:rFonts w:hint="eastAsia" w:ascii="Times New Roman" w:hAnsi="Times New Roman" w:cs="Times New Roman"/>
          <w:szCs w:val="24"/>
        </w:rPr>
        <w:t xml:space="preserve"> </w:t>
      </w:r>
      <w:r>
        <w:rPr>
          <w:rFonts w:ascii="Times New Roman" w:hAnsi="Times New Roman" w:cs="Times New Roman"/>
          <w:szCs w:val="24"/>
        </w:rPr>
        <w:t>for further research.</w:t>
      </w:r>
    </w:p>
    <w:p w14:paraId="032B4285">
      <w:pPr>
        <w:adjustRightInd w:val="0"/>
        <w:spacing w:line="480" w:lineRule="auto"/>
        <w:ind w:firstLine="482"/>
        <w:rPr>
          <w:rFonts w:ascii="Times New Roman" w:hAnsi="Times New Roman" w:cs="Times New Roman"/>
          <w:szCs w:val="24"/>
        </w:rPr>
      </w:pPr>
      <w:r>
        <w:rPr>
          <w:rFonts w:hint="eastAsia" w:ascii="Times New Roman" w:hAnsi="Times New Roman" w:cs="Times New Roman"/>
          <w:szCs w:val="24"/>
          <w:lang w:val="en-US" w:eastAsia="zh-CN"/>
        </w:rPr>
        <w:t>Recent studies have explored various drivers of agricultural economic resilience.</w:t>
      </w:r>
      <w:r>
        <w:rPr>
          <w:rStyle w:val="23"/>
          <w:rFonts w:hint="eastAsia"/>
          <w:lang w:val="en-US" w:eastAsia="zh-CN"/>
        </w:rPr>
        <w:t xml:space="preserve"> Li et al., (2025) </w:t>
      </w:r>
      <w:r>
        <w:rPr>
          <w:rFonts w:hint="eastAsia" w:ascii="Times New Roman" w:hAnsi="Times New Roman" w:cs="Times New Roman"/>
          <w:szCs w:val="24"/>
          <w:lang w:val="en-US" w:eastAsia="zh-CN"/>
        </w:rPr>
        <w:t>find that full-cost insurance significantly enhances resilience in high-risk and high-output regions.</w:t>
      </w:r>
      <w:r>
        <w:rPr>
          <w:rStyle w:val="23"/>
          <w:rFonts w:hint="eastAsia"/>
          <w:lang w:val="en-US" w:eastAsia="zh-CN"/>
        </w:rPr>
        <w:t xml:space="preserve"> Shi</w:t>
      </w:r>
      <w:r>
        <w:rPr>
          <w:rStyle w:val="23"/>
          <w:rFonts w:hint="eastAsia"/>
        </w:rPr>
        <w:t xml:space="preserve"> &amp;</w:t>
      </w:r>
      <w:r>
        <w:rPr>
          <w:rStyle w:val="23"/>
          <w:rFonts w:hint="eastAsia"/>
          <w:lang w:val="en-US" w:eastAsia="zh-CN"/>
        </w:rPr>
        <w:t xml:space="preserve"> Xu (2026)</w:t>
      </w:r>
      <w:r>
        <w:rPr>
          <w:rFonts w:hint="eastAsia" w:ascii="Times New Roman" w:hAnsi="Times New Roman" w:cs="Times New Roman"/>
          <w:color w:val="0000FF"/>
          <w:szCs w:val="24"/>
          <w:lang w:val="en-US" w:eastAsia="zh-CN"/>
        </w:rPr>
        <w:t xml:space="preserve"> </w:t>
      </w:r>
      <w:r>
        <w:rPr>
          <w:rFonts w:hint="eastAsia" w:ascii="Times New Roman" w:hAnsi="Times New Roman" w:cs="Times New Roman"/>
          <w:szCs w:val="24"/>
          <w:lang w:val="en-US" w:eastAsia="zh-CN"/>
        </w:rPr>
        <w:t>identify agricultural technological innovation as another key driver, operating through industrial structure adjustment, labor productivity improvement, and industrial agglomeration. While valuable, these studies focus on sector-specific instruments within the agricultural system. Neither considers NTU as a macro-level structural transformation that reshapes rural-urban dynamics, resource allocation, and institutional frameworks. This study addresses this gap by investigating how NTU influences AER through distinct mechanisms—GTI, AEA, GFI, and APR—offering a more integrated analytical framework.</w:t>
      </w:r>
      <w:bookmarkStart w:id="6" w:name="OLE_LINK10"/>
      <w:r>
        <w:rPr>
          <w:rFonts w:hint="eastAsia" w:ascii="Times New Roman" w:hAnsi="Times New Roman" w:cs="Times New Roman"/>
          <w:szCs w:val="24"/>
          <w:lang w:val="en-US" w:eastAsia="zh-CN"/>
        </w:rPr>
        <w:t xml:space="preserve"> </w:t>
      </w:r>
      <w:r>
        <w:rPr>
          <w:rFonts w:ascii="Times New Roman" w:hAnsi="Times New Roman" w:cs="Times New Roman"/>
          <w:szCs w:val="24"/>
        </w:rPr>
        <w:t>The contributions of this study are threefold:</w:t>
      </w:r>
    </w:p>
    <w:p w14:paraId="7ED80ABE">
      <w:pPr>
        <w:numPr>
          <w:ilvl w:val="0"/>
          <w:numId w:val="1"/>
        </w:numPr>
        <w:adjustRightInd w:val="0"/>
        <w:spacing w:line="480" w:lineRule="auto"/>
        <w:ind w:firstLine="482"/>
        <w:rPr>
          <w:rFonts w:hint="eastAsia" w:ascii="Times New Roman" w:hAnsi="Times New Roman" w:cs="Times New Roman"/>
          <w:szCs w:val="24"/>
          <w:lang w:val="en-US" w:eastAsia="zh-CN"/>
        </w:rPr>
      </w:pPr>
      <w:r>
        <w:rPr>
          <w:rFonts w:ascii="Times New Roman" w:hAnsi="Times New Roman" w:cs="Times New Roman"/>
          <w:b/>
          <w:bCs/>
          <w:szCs w:val="24"/>
        </w:rPr>
        <w:t xml:space="preserve">A </w:t>
      </w:r>
      <w:r>
        <w:rPr>
          <w:rFonts w:hint="eastAsia" w:ascii="Times New Roman" w:hAnsi="Times New Roman" w:cs="Times New Roman"/>
          <w:b/>
          <w:bCs/>
          <w:szCs w:val="24"/>
          <w:lang w:val="en-US" w:eastAsia="zh-CN"/>
        </w:rPr>
        <w:t xml:space="preserve">novel and </w:t>
      </w:r>
      <w:r>
        <w:rPr>
          <w:rFonts w:ascii="Times New Roman" w:hAnsi="Times New Roman" w:cs="Times New Roman"/>
          <w:b/>
          <w:bCs/>
          <w:szCs w:val="24"/>
        </w:rPr>
        <w:t>comprehensive evaluation index system</w:t>
      </w:r>
      <w:r>
        <w:rPr>
          <w:rFonts w:hint="eastAsia" w:ascii="Times New Roman" w:hAnsi="Times New Roman" w:cs="Times New Roman"/>
          <w:szCs w:val="24"/>
        </w:rPr>
        <w:t xml:space="preserve"> </w:t>
      </w:r>
      <w:r>
        <w:rPr>
          <w:rFonts w:ascii="Times New Roman" w:hAnsi="Times New Roman" w:cs="Times New Roman"/>
          <w:szCs w:val="24"/>
        </w:rPr>
        <w:t>is developed,</w:t>
      </w:r>
      <w:r>
        <w:rPr>
          <w:rFonts w:hint="eastAsia" w:ascii="Times New Roman" w:hAnsi="Times New Roman" w:cs="Times New Roman"/>
          <w:szCs w:val="24"/>
        </w:rPr>
        <w:t xml:space="preserve"> </w:t>
      </w:r>
      <w:r>
        <w:rPr>
          <w:rFonts w:ascii="Times New Roman" w:hAnsi="Times New Roman" w:cs="Times New Roman"/>
          <w:szCs w:val="24"/>
        </w:rPr>
        <w:t>incorporating dimensions of</w:t>
      </w:r>
      <w:r>
        <w:rPr>
          <w:rFonts w:hint="eastAsia" w:ascii="Times New Roman" w:hAnsi="Times New Roman" w:cs="Times New Roman"/>
          <w:szCs w:val="24"/>
        </w:rPr>
        <w:t xml:space="preserve"> </w:t>
      </w:r>
      <w:r>
        <w:rPr>
          <w:rFonts w:ascii="Times New Roman" w:hAnsi="Times New Roman" w:cs="Times New Roman"/>
          <w:szCs w:val="24"/>
        </w:rPr>
        <w:t xml:space="preserve">risk resistance, adaptive adjustment, and transformative innovation. </w:t>
      </w:r>
      <w:r>
        <w:rPr>
          <w:rFonts w:hint="eastAsia" w:ascii="Times New Roman" w:hAnsi="Times New Roman" w:cs="Times New Roman"/>
          <w:szCs w:val="24"/>
          <w:lang w:val="en-US" w:eastAsia="zh-CN"/>
        </w:rPr>
        <w:t>AER</w:t>
      </w:r>
      <w:r>
        <w:rPr>
          <w:rFonts w:ascii="Times New Roman" w:hAnsi="Times New Roman" w:cs="Times New Roman"/>
          <w:szCs w:val="24"/>
        </w:rPr>
        <w:t xml:space="preserve"> is measured quantitatively using the entropy method, and</w:t>
      </w:r>
      <w:r>
        <w:rPr>
          <w:rFonts w:hint="eastAsia" w:ascii="Times New Roman" w:hAnsi="Times New Roman" w:cs="Times New Roman"/>
          <w:szCs w:val="24"/>
        </w:rPr>
        <w:t xml:space="preserve"> </w:t>
      </w:r>
      <w:r>
        <w:rPr>
          <w:rFonts w:ascii="Times New Roman" w:hAnsi="Times New Roman" w:cs="Times New Roman"/>
          <w:szCs w:val="24"/>
        </w:rPr>
        <w:t>a two-way fixed effects model is systematically</w:t>
      </w:r>
      <w:r>
        <w:rPr>
          <w:rFonts w:hint="eastAsia" w:ascii="Times New Roman" w:hAnsi="Times New Roman" w:cs="Times New Roman"/>
          <w:szCs w:val="24"/>
          <w:lang w:val="en-US" w:eastAsia="zh-CN"/>
        </w:rPr>
        <w:t xml:space="preserve"> </w:t>
      </w:r>
      <w:r>
        <w:rPr>
          <w:rFonts w:ascii="Times New Roman" w:hAnsi="Times New Roman" w:cs="Times New Roman"/>
          <w:szCs w:val="24"/>
        </w:rPr>
        <w:t>employed to assess the impact of</w:t>
      </w:r>
      <w:r>
        <w:rPr>
          <w:rFonts w:hint="eastAsia" w:ascii="Times New Roman" w:hAnsi="Times New Roman" w:cs="Times New Roman"/>
          <w:szCs w:val="24"/>
          <w:lang w:val="en-US" w:eastAsia="zh-CN"/>
        </w:rPr>
        <w:t xml:space="preserve"> NTU</w:t>
      </w:r>
      <w:r>
        <w:rPr>
          <w:rFonts w:ascii="Times New Roman" w:hAnsi="Times New Roman" w:cs="Times New Roman"/>
          <w:szCs w:val="24"/>
        </w:rPr>
        <w:t>.</w:t>
      </w:r>
      <w:r>
        <w:rPr>
          <w:rFonts w:hint="eastAsia" w:ascii="Times New Roman" w:hAnsi="Times New Roman" w:cs="Times New Roman"/>
          <w:szCs w:val="24"/>
          <w:lang w:val="en-US" w:eastAsia="zh-CN"/>
        </w:rPr>
        <w:t xml:space="preserve"> </w:t>
      </w:r>
    </w:p>
    <w:p w14:paraId="76E1E055">
      <w:pPr>
        <w:numPr>
          <w:ilvl w:val="0"/>
          <w:numId w:val="0"/>
        </w:numPr>
        <w:adjustRightInd w:val="0"/>
        <w:spacing w:line="480" w:lineRule="auto"/>
        <w:ind w:firstLine="420" w:firstLineChars="200"/>
        <w:rPr>
          <w:rFonts w:ascii="Times New Roman" w:hAnsi="Times New Roman" w:cs="Times New Roman"/>
          <w:szCs w:val="24"/>
        </w:rPr>
      </w:pPr>
      <w:r>
        <w:rPr>
          <w:rFonts w:ascii="Times New Roman" w:hAnsi="Times New Roman" w:cs="Times New Roman"/>
          <w:szCs w:val="24"/>
        </w:rPr>
        <w:t>(2)</w:t>
      </w:r>
      <w:r>
        <w:rPr>
          <w:rFonts w:ascii="Times New Roman" w:hAnsi="Times New Roman" w:cs="Times New Roman"/>
          <w:b/>
          <w:bCs/>
          <w:szCs w:val="24"/>
        </w:rPr>
        <w:t xml:space="preserve"> A unified analytical framework integrating mediation and moderation mechanism</w:t>
      </w:r>
      <w:r>
        <w:rPr>
          <w:rFonts w:ascii="Times New Roman" w:hAnsi="Times New Roman" w:cs="Times New Roman"/>
          <w:szCs w:val="24"/>
        </w:rPr>
        <w:t>s is established. While prior studies have largely examined isolated pathways, this study simultaneously identifies and validates the mediating roles of GTI and AEA, alongside the moderating roles of GFI and APR. This integrated approach provides a more complete theoretical account of the multiple channels through which NTU shapes AER, revealing not only how urbanization transmits its effects but also under what institutional and financial conditions those effects are amplified.</w:t>
      </w:r>
    </w:p>
    <w:p w14:paraId="1FDBD754">
      <w:pPr>
        <w:adjustRightInd w:val="0"/>
        <w:spacing w:line="480" w:lineRule="auto"/>
        <w:ind w:firstLine="482"/>
        <w:rPr>
          <w:rFonts w:ascii="Times New Roman" w:hAnsi="Times New Roman" w:cs="Times New Roman"/>
          <w:szCs w:val="24"/>
        </w:rPr>
      </w:pPr>
      <w:r>
        <w:rPr>
          <w:rFonts w:ascii="Times New Roman" w:hAnsi="Times New Roman" w:cs="Times New Roman"/>
          <w:szCs w:val="24"/>
        </w:rPr>
        <w:t xml:space="preserve">(3) </w:t>
      </w:r>
      <w:bookmarkEnd w:id="6"/>
      <w:r>
        <w:rPr>
          <w:rFonts w:ascii="Times New Roman" w:hAnsi="Times New Roman" w:cs="Times New Roman"/>
          <w:b/>
          <w:bCs/>
          <w:szCs w:val="24"/>
        </w:rPr>
        <w:t>New empirical evidence on heterogeneous effects and policy differentiation</w:t>
      </w:r>
      <w:r>
        <w:rPr>
          <w:rFonts w:ascii="Times New Roman" w:hAnsi="Times New Roman" w:cs="Times New Roman"/>
          <w:szCs w:val="24"/>
        </w:rPr>
        <w:t> is provided. By systematically examining variations across levels of government intervention, industrial structures, and geographic regions, this study offers granular, actionable insights for regionally tailored policymaking. This heterogeneity analysis moves beyond average effect estimation to inform targeted strategies that account for local development contexts, thereby enhancing the practical relevance of the findings.</w:t>
      </w:r>
    </w:p>
    <w:p w14:paraId="7FF117C8">
      <w:pPr>
        <w:adjustRightInd w:val="0"/>
        <w:spacing w:line="480" w:lineRule="auto"/>
        <w:ind w:firstLine="482"/>
        <w:rPr>
          <w:rFonts w:ascii="Times New Roman" w:hAnsi="Times New Roman" w:cs="Times New Roman"/>
          <w:szCs w:val="24"/>
        </w:rPr>
      </w:pPr>
      <w:r>
        <w:rPr>
          <w:rFonts w:ascii="Times New Roman" w:hAnsi="Times New Roman" w:cs="Times New Roman"/>
          <w:szCs w:val="24"/>
        </w:rPr>
        <w:t xml:space="preserve">Overall, this study enriches both theoretical understanding and practical insights regarding the pathways through which </w:t>
      </w:r>
      <w:r>
        <w:rPr>
          <w:rFonts w:hint="eastAsia" w:ascii="Times New Roman" w:hAnsi="Times New Roman" w:cs="Times New Roman"/>
          <w:szCs w:val="24"/>
          <w:lang w:val="en-US" w:eastAsia="zh-CN"/>
        </w:rPr>
        <w:t>NTU</w:t>
      </w:r>
      <w:r>
        <w:rPr>
          <w:rFonts w:ascii="Times New Roman" w:hAnsi="Times New Roman" w:cs="Times New Roman"/>
          <w:szCs w:val="24"/>
        </w:rPr>
        <w:t xml:space="preserve"> affects </w:t>
      </w:r>
      <w:r>
        <w:rPr>
          <w:rFonts w:hint="eastAsia" w:ascii="Times New Roman" w:hAnsi="Times New Roman" w:cs="Times New Roman"/>
          <w:szCs w:val="24"/>
          <w:lang w:val="en-US" w:eastAsia="zh-CN"/>
        </w:rPr>
        <w:t>AER</w:t>
      </w:r>
      <w:r>
        <w:rPr>
          <w:rFonts w:ascii="Times New Roman" w:hAnsi="Times New Roman" w:cs="Times New Roman"/>
          <w:szCs w:val="24"/>
        </w:rPr>
        <w:t xml:space="preserve"> in China. The specific analytical framework is presented in</w:t>
      </w:r>
      <w:r>
        <w:rPr>
          <w:rFonts w:ascii="Times New Roman" w:hAnsi="Times New Roman" w:cs="Times New Roman"/>
          <w:color w:val="0070C0"/>
          <w:szCs w:val="24"/>
        </w:rPr>
        <w:t xml:space="preserve"> </w:t>
      </w:r>
      <w:r>
        <w:rPr>
          <w:rFonts w:ascii="Times New Roman" w:hAnsi="Times New Roman" w:cs="Times New Roman"/>
          <w:color w:val="0070C0"/>
          <w:szCs w:val="24"/>
        </w:rPr>
        <w:fldChar w:fldCharType="begin"/>
      </w:r>
      <w:r>
        <w:rPr>
          <w:rFonts w:ascii="Times New Roman" w:hAnsi="Times New Roman" w:cs="Times New Roman"/>
          <w:color w:val="0070C0"/>
          <w:szCs w:val="24"/>
        </w:rPr>
        <w:instrText xml:space="preserve"> REF _Ref216098525 \h  \* MERGEFORMAT </w:instrText>
      </w:r>
      <w:r>
        <w:rPr>
          <w:rFonts w:ascii="Times New Roman" w:hAnsi="Times New Roman" w:cs="Times New Roman"/>
          <w:color w:val="0070C0"/>
          <w:szCs w:val="24"/>
        </w:rPr>
        <w:fldChar w:fldCharType="separate"/>
      </w:r>
      <w:r>
        <w:rPr>
          <w:rFonts w:hint="eastAsia" w:ascii="Times New Roman" w:hAnsi="Times New Roman" w:cs="Times New Roman"/>
          <w:color w:val="0070C0"/>
          <w:szCs w:val="24"/>
        </w:rPr>
        <w:t xml:space="preserve">Fig </w:t>
      </w:r>
      <w:r>
        <w:rPr>
          <w:rFonts w:ascii="Times New Roman" w:hAnsi="Times New Roman" w:cs="Times New Roman"/>
          <w:color w:val="0070C0"/>
          <w:szCs w:val="24"/>
        </w:rPr>
        <w:t>1</w:t>
      </w:r>
      <w:r>
        <w:rPr>
          <w:rFonts w:ascii="Times New Roman" w:hAnsi="Times New Roman" w:cs="Times New Roman"/>
          <w:color w:val="0070C0"/>
          <w:szCs w:val="24"/>
        </w:rPr>
        <w:fldChar w:fldCharType="end"/>
      </w:r>
      <w:r>
        <w:rPr>
          <w:rFonts w:ascii="Times New Roman" w:hAnsi="Times New Roman" w:cs="Times New Roman"/>
          <w:szCs w:val="24"/>
        </w:rPr>
        <w:t>.</w:t>
      </w:r>
    </w:p>
    <w:p w14:paraId="5F2A59C7">
      <w:pPr>
        <w:spacing w:line="480" w:lineRule="auto"/>
        <w:jc w:val="center"/>
        <w:rPr>
          <w:rFonts w:ascii="Times New Roman" w:hAnsi="Times New Roman" w:eastAsia="宋体"/>
          <w:sz w:val="24"/>
          <w:szCs w:val="24"/>
        </w:rPr>
      </w:pPr>
      <w:r>
        <w:rPr>
          <w:rFonts w:ascii="Times New Roman" w:hAnsi="Times New Roman" w:eastAsia="宋体"/>
          <w:sz w:val="24"/>
          <w:szCs w:val="24"/>
        </w:rPr>
        <w:drawing>
          <wp:inline distT="0" distB="0" distL="0" distR="0">
            <wp:extent cx="5278120" cy="2940050"/>
            <wp:effectExtent l="0" t="0" r="10160" b="1270"/>
            <wp:docPr id="6752087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208799" name="图片 1"/>
                    <pic:cNvPicPr>
                      <a:picLocks noChangeAspect="1"/>
                    </pic:cNvPicPr>
                  </pic:nvPicPr>
                  <pic:blipFill>
                    <a:blip r:embed="rId4"/>
                    <a:stretch>
                      <a:fillRect/>
                    </a:stretch>
                  </pic:blipFill>
                  <pic:spPr>
                    <a:xfrm>
                      <a:off x="0" y="0"/>
                      <a:ext cx="5278120" cy="2940050"/>
                    </a:xfrm>
                    <a:prstGeom prst="rect">
                      <a:avLst/>
                    </a:prstGeom>
                  </pic:spPr>
                </pic:pic>
              </a:graphicData>
            </a:graphic>
          </wp:inline>
        </w:drawing>
      </w:r>
    </w:p>
    <w:p w14:paraId="76C30686">
      <w:pPr>
        <w:spacing w:after="120" w:afterLines="50" w:line="480" w:lineRule="auto"/>
        <w:ind w:firstLine="360" w:firstLineChars="200"/>
        <w:jc w:val="center"/>
        <w:rPr>
          <w:rFonts w:ascii="Times New Roman" w:hAnsi="Times New Roman" w:cs="Times New Roman"/>
          <w:sz w:val="18"/>
          <w:szCs w:val="18"/>
        </w:rPr>
      </w:pPr>
      <w:bookmarkStart w:id="7" w:name="_Ref216098525"/>
      <w:r>
        <w:rPr>
          <w:rFonts w:hint="eastAsia" w:ascii="Times New Roman" w:hAnsi="Times New Roman" w:cs="Times New Roman"/>
          <w:sz w:val="18"/>
          <w:szCs w:val="18"/>
        </w:rPr>
        <w:t xml:space="preserve">Fig </w:t>
      </w:r>
      <w:r>
        <w:rPr>
          <w:rFonts w:hint="eastAsia" w:ascii="Times New Roman" w:hAnsi="Times New Roman" w:cs="Times New Roman"/>
          <w:sz w:val="18"/>
          <w:szCs w:val="18"/>
        </w:rPr>
        <w:fldChar w:fldCharType="begin"/>
      </w:r>
      <w:r>
        <w:rPr>
          <w:rFonts w:hint="eastAsia" w:ascii="Times New Roman" w:hAnsi="Times New Roman" w:cs="Times New Roman"/>
          <w:sz w:val="18"/>
          <w:szCs w:val="18"/>
        </w:rPr>
        <w:instrText xml:space="preserve"> SEQ Fig \* ARABIC </w:instrText>
      </w:r>
      <w:r>
        <w:rPr>
          <w:rFonts w:hint="eastAsia" w:ascii="Times New Roman" w:hAnsi="Times New Roman" w:cs="Times New Roman"/>
          <w:sz w:val="18"/>
          <w:szCs w:val="18"/>
        </w:rPr>
        <w:fldChar w:fldCharType="separate"/>
      </w:r>
      <w:r>
        <w:rPr>
          <w:rFonts w:ascii="Times New Roman" w:hAnsi="Times New Roman" w:cs="Times New Roman"/>
          <w:sz w:val="18"/>
          <w:szCs w:val="18"/>
        </w:rPr>
        <w:t>1</w:t>
      </w:r>
      <w:r>
        <w:rPr>
          <w:rFonts w:hint="eastAsia" w:ascii="Times New Roman" w:hAnsi="Times New Roman" w:cs="Times New Roman"/>
          <w:sz w:val="18"/>
          <w:szCs w:val="18"/>
        </w:rPr>
        <w:fldChar w:fldCharType="end"/>
      </w:r>
      <w:bookmarkEnd w:id="7"/>
      <w:r>
        <w:rPr>
          <w:rFonts w:hint="eastAsia" w:ascii="Times New Roman" w:hAnsi="Times New Roman" w:cs="Times New Roman"/>
          <w:sz w:val="18"/>
          <w:szCs w:val="18"/>
        </w:rPr>
        <w:t xml:space="preserve"> A</w:t>
      </w:r>
      <w:r>
        <w:rPr>
          <w:rFonts w:ascii="Times New Roman" w:hAnsi="Times New Roman" w:cs="Times New Roman"/>
          <w:sz w:val="18"/>
          <w:szCs w:val="18"/>
        </w:rPr>
        <w:t>nalytical</w:t>
      </w:r>
      <w:r>
        <w:rPr>
          <w:rFonts w:hint="eastAsia" w:ascii="Times New Roman" w:hAnsi="Times New Roman" w:cs="Times New Roman"/>
          <w:sz w:val="18"/>
          <w:szCs w:val="18"/>
        </w:rPr>
        <w:t xml:space="preserve"> f</w:t>
      </w:r>
      <w:r>
        <w:rPr>
          <w:rFonts w:ascii="Times New Roman" w:hAnsi="Times New Roman" w:cs="Times New Roman"/>
          <w:sz w:val="18"/>
          <w:szCs w:val="18"/>
        </w:rPr>
        <w:t>ramework</w:t>
      </w:r>
      <w:r>
        <w:rPr>
          <w:rFonts w:hint="eastAsia" w:ascii="Times New Roman" w:hAnsi="Times New Roman" w:cs="Times New Roman"/>
          <w:sz w:val="18"/>
          <w:szCs w:val="18"/>
        </w:rPr>
        <w:t>.</w:t>
      </w:r>
    </w:p>
    <w:p w14:paraId="32DE3DB7">
      <w:pPr>
        <w:spacing w:after="120" w:afterLines="50" w:line="480" w:lineRule="auto"/>
        <w:rPr>
          <w:rFonts w:ascii="Times New Roman" w:hAnsi="Times New Roman" w:cs="Times New Roman"/>
          <w:b/>
          <w:bCs/>
          <w:szCs w:val="24"/>
        </w:rPr>
      </w:pPr>
      <w:r>
        <w:rPr>
          <w:rFonts w:hint="eastAsia" w:ascii="Times New Roman" w:hAnsi="Times New Roman" w:cs="Times New Roman"/>
          <w:b/>
          <w:bCs/>
          <w:szCs w:val="24"/>
        </w:rPr>
        <w:t xml:space="preserve">2. </w:t>
      </w:r>
      <w:r>
        <w:rPr>
          <w:rFonts w:ascii="Times New Roman" w:hAnsi="Times New Roman" w:cs="Times New Roman"/>
          <w:b/>
          <w:bCs/>
          <w:szCs w:val="24"/>
        </w:rPr>
        <w:t>Theoretical hypotheses</w:t>
      </w:r>
    </w:p>
    <w:p w14:paraId="12F252DA">
      <w:pPr>
        <w:spacing w:after="120" w:afterLines="50" w:line="480" w:lineRule="auto"/>
        <w:rPr>
          <w:rFonts w:ascii="Times New Roman" w:hAnsi="Times New Roman" w:cs="Times New Roman"/>
          <w:b/>
          <w:bCs/>
          <w:szCs w:val="24"/>
        </w:rPr>
      </w:pPr>
      <w:r>
        <w:rPr>
          <w:rFonts w:hint="eastAsia" w:ascii="Times New Roman" w:hAnsi="Times New Roman" w:cs="Times New Roman"/>
          <w:b/>
          <w:bCs/>
          <w:szCs w:val="24"/>
        </w:rPr>
        <w:t xml:space="preserve">2.1. </w:t>
      </w:r>
      <w:r>
        <w:rPr>
          <w:rFonts w:ascii="Times New Roman" w:hAnsi="Times New Roman" w:cs="Times New Roman"/>
          <w:b/>
          <w:bCs/>
          <w:szCs w:val="24"/>
        </w:rPr>
        <w:t>Direct Effects of N</w:t>
      </w:r>
      <w:r>
        <w:rPr>
          <w:rFonts w:hint="eastAsia" w:ascii="Times New Roman" w:hAnsi="Times New Roman" w:cs="Times New Roman"/>
          <w:b/>
          <w:bCs/>
          <w:szCs w:val="24"/>
        </w:rPr>
        <w:t>TU</w:t>
      </w:r>
      <w:r>
        <w:rPr>
          <w:rFonts w:ascii="Times New Roman" w:hAnsi="Times New Roman" w:cs="Times New Roman"/>
          <w:b/>
          <w:bCs/>
          <w:szCs w:val="24"/>
        </w:rPr>
        <w:t xml:space="preserve"> on A</w:t>
      </w:r>
      <w:r>
        <w:rPr>
          <w:rFonts w:hint="eastAsia" w:ascii="Times New Roman" w:hAnsi="Times New Roman" w:cs="Times New Roman"/>
          <w:b/>
          <w:bCs/>
          <w:szCs w:val="24"/>
        </w:rPr>
        <w:t>ER</w:t>
      </w:r>
    </w:p>
    <w:p w14:paraId="75611F9A">
      <w:pPr>
        <w:adjustRightInd w:val="0"/>
        <w:spacing w:line="480" w:lineRule="auto"/>
        <w:ind w:firstLine="482"/>
        <w:rPr>
          <w:rFonts w:ascii="Times New Roman" w:hAnsi="Times New Roman" w:cs="Times New Roman"/>
          <w:szCs w:val="24"/>
        </w:rPr>
      </w:pPr>
      <w:r>
        <w:rPr>
          <w:rFonts w:ascii="Times New Roman" w:hAnsi="Times New Roman" w:cs="Times New Roman"/>
          <w:szCs w:val="24"/>
        </w:rPr>
        <w:t xml:space="preserve">NTU </w:t>
      </w:r>
      <w:r>
        <w:rPr>
          <w:rFonts w:hint="eastAsia" w:ascii="Times New Roman" w:hAnsi="Times New Roman" w:cs="Times New Roman"/>
          <w:szCs w:val="24"/>
        </w:rPr>
        <w:t>serves as</w:t>
      </w:r>
      <w:r>
        <w:rPr>
          <w:rFonts w:ascii="Times New Roman" w:hAnsi="Times New Roman" w:cs="Times New Roman"/>
          <w:szCs w:val="24"/>
        </w:rPr>
        <w:t xml:space="preserve"> a critical determinant of</w:t>
      </w:r>
      <w:r>
        <w:rPr>
          <w:rFonts w:hint="eastAsia" w:ascii="Times New Roman" w:hAnsi="Times New Roman" w:cs="Times New Roman"/>
          <w:szCs w:val="24"/>
          <w:lang w:val="en-US" w:eastAsia="zh-CN"/>
        </w:rPr>
        <w:t xml:space="preserve"> </w:t>
      </w:r>
      <w:r>
        <w:rPr>
          <w:rFonts w:ascii="Times New Roman" w:hAnsi="Times New Roman" w:cs="Times New Roman"/>
          <w:szCs w:val="24"/>
        </w:rPr>
        <w:t xml:space="preserve">AER, </w:t>
      </w:r>
      <w:r>
        <w:rPr>
          <w:rFonts w:hint="eastAsia" w:ascii="Times New Roman" w:hAnsi="Times New Roman" w:cs="Times New Roman"/>
          <w:szCs w:val="24"/>
        </w:rPr>
        <w:t xml:space="preserve">exerting </w:t>
      </w:r>
      <w:r>
        <w:rPr>
          <w:rFonts w:ascii="Times New Roman" w:hAnsi="Times New Roman" w:cs="Times New Roman"/>
          <w:szCs w:val="24"/>
        </w:rPr>
        <w:t>influenc</w:t>
      </w:r>
      <w:r>
        <w:rPr>
          <w:rFonts w:hint="eastAsia" w:ascii="Times New Roman" w:hAnsi="Times New Roman" w:cs="Times New Roman"/>
          <w:szCs w:val="24"/>
        </w:rPr>
        <w:t xml:space="preserve">e </w:t>
      </w:r>
      <w:r>
        <w:rPr>
          <w:rFonts w:ascii="Times New Roman" w:hAnsi="Times New Roman" w:cs="Times New Roman"/>
          <w:szCs w:val="24"/>
        </w:rPr>
        <w:t>across three</w:t>
      </w:r>
      <w:r>
        <w:rPr>
          <w:rFonts w:hint="eastAsia" w:ascii="Times New Roman" w:hAnsi="Times New Roman" w:cs="Times New Roman"/>
          <w:szCs w:val="24"/>
        </w:rPr>
        <w:t xml:space="preserve"> key</w:t>
      </w:r>
      <w:r>
        <w:rPr>
          <w:rFonts w:ascii="Times New Roman" w:hAnsi="Times New Roman" w:cs="Times New Roman"/>
          <w:szCs w:val="24"/>
        </w:rPr>
        <w:t xml:space="preserve"> dimensions: risk resistance, adaptive adjustment, and transformative innovation.</w:t>
      </w:r>
    </w:p>
    <w:p w14:paraId="2A064FCE">
      <w:pPr>
        <w:adjustRightInd w:val="0"/>
        <w:spacing w:line="480" w:lineRule="auto"/>
        <w:ind w:firstLine="482"/>
        <w:rPr>
          <w:rFonts w:ascii="Times New Roman" w:hAnsi="Times New Roman" w:cs="Times New Roman"/>
          <w:szCs w:val="24"/>
        </w:rPr>
      </w:pPr>
      <w:r>
        <w:rPr>
          <w:rFonts w:ascii="Times New Roman" w:hAnsi="Times New Roman" w:cs="Times New Roman"/>
          <w:b/>
          <w:bCs/>
          <w:szCs w:val="24"/>
        </w:rPr>
        <w:t>First, NTU</w:t>
      </w:r>
      <w:r>
        <w:rPr>
          <w:rFonts w:hint="eastAsia" w:ascii="Times New Roman" w:hAnsi="Times New Roman" w:cs="Times New Roman"/>
          <w:b/>
          <w:bCs/>
          <w:szCs w:val="24"/>
        </w:rPr>
        <w:t xml:space="preserve"> enhance</w:t>
      </w:r>
      <w:r>
        <w:rPr>
          <w:rFonts w:ascii="Times New Roman" w:hAnsi="Times New Roman" w:cs="Times New Roman"/>
          <w:b/>
          <w:bCs/>
          <w:szCs w:val="24"/>
        </w:rPr>
        <w:t>s the risk resistance of agricultural systems.</w:t>
      </w:r>
      <w:r>
        <w:rPr>
          <w:rFonts w:ascii="Times New Roman" w:hAnsi="Times New Roman" w:cs="Times New Roman"/>
          <w:szCs w:val="24"/>
        </w:rPr>
        <w:t xml:space="preserve"> </w:t>
      </w:r>
      <w:r>
        <w:rPr>
          <w:rFonts w:hint="eastAsia" w:ascii="Times New Roman" w:hAnsi="Times New Roman" w:cs="Times New Roman"/>
          <w:szCs w:val="24"/>
        </w:rPr>
        <w:t xml:space="preserve">Given the </w:t>
      </w:r>
      <w:r>
        <w:rPr>
          <w:rFonts w:ascii="Times New Roman" w:hAnsi="Times New Roman" w:cs="Times New Roman"/>
          <w:szCs w:val="24"/>
        </w:rPr>
        <w:t>inherent vulnerab</w:t>
      </w:r>
      <w:r>
        <w:rPr>
          <w:rFonts w:hint="eastAsia" w:ascii="Times New Roman" w:hAnsi="Times New Roman" w:cs="Times New Roman"/>
          <w:szCs w:val="24"/>
        </w:rPr>
        <w:t xml:space="preserve">ility of agriculture </w:t>
      </w:r>
      <w:r>
        <w:rPr>
          <w:rFonts w:ascii="Times New Roman" w:hAnsi="Times New Roman" w:cs="Times New Roman"/>
          <w:szCs w:val="24"/>
        </w:rPr>
        <w:t>to natural disasters, market fluctuations, and economic crises, multiple safeguard mechanis</w:t>
      </w:r>
      <w:r>
        <w:rPr>
          <w:rFonts w:hint="eastAsia" w:ascii="Times New Roman" w:hAnsi="Times New Roman" w:cs="Times New Roman"/>
          <w:szCs w:val="24"/>
        </w:rPr>
        <w:t xml:space="preserve">ms </w:t>
      </w:r>
      <w:r>
        <w:rPr>
          <w:rFonts w:hint="default" w:ascii="Times New Roman" w:hAnsi="Times New Roman" w:cs="Times New Roman"/>
          <w:szCs w:val="24"/>
        </w:rPr>
        <w:t xml:space="preserve">are essential </w:t>
      </w:r>
      <w:r>
        <w:rPr>
          <w:rFonts w:hint="eastAsia" w:ascii="Times New Roman" w:hAnsi="Times New Roman" w:cs="Times New Roman"/>
          <w:szCs w:val="24"/>
        </w:rPr>
        <w:t xml:space="preserve">to </w:t>
      </w:r>
      <w:r>
        <w:rPr>
          <w:rFonts w:ascii="Times New Roman" w:hAnsi="Times New Roman" w:cs="Times New Roman"/>
          <w:szCs w:val="24"/>
        </w:rPr>
        <w:t xml:space="preserve">ensure resilience. By improving rural-urban transportation </w:t>
      </w:r>
      <w:r>
        <w:rPr>
          <w:rFonts w:hint="eastAsia" w:ascii="Times New Roman" w:hAnsi="Times New Roman" w:cs="Times New Roman"/>
          <w:szCs w:val="24"/>
        </w:rPr>
        <w:t xml:space="preserve">networks </w:t>
      </w:r>
      <w:r>
        <w:rPr>
          <w:rFonts w:ascii="Times New Roman" w:hAnsi="Times New Roman" w:cs="Times New Roman"/>
          <w:szCs w:val="24"/>
        </w:rPr>
        <w:t>and optimizing land resource allocation, NTU strengthens</w:t>
      </w:r>
      <w:r>
        <w:rPr>
          <w:rFonts w:hint="eastAsia" w:ascii="Times New Roman" w:hAnsi="Times New Roman" w:cs="Times New Roman"/>
          <w:szCs w:val="24"/>
        </w:rPr>
        <w:t xml:space="preserve"> the </w:t>
      </w:r>
      <w:r>
        <w:rPr>
          <w:rFonts w:ascii="Times New Roman" w:hAnsi="Times New Roman" w:cs="Times New Roman"/>
          <w:szCs w:val="24"/>
        </w:rPr>
        <w:t>agriculture</w:t>
      </w:r>
      <w:r>
        <w:rPr>
          <w:rFonts w:hint="eastAsia" w:ascii="Times New Roman" w:hAnsi="Times New Roman" w:cs="Times New Roman"/>
          <w:szCs w:val="24"/>
        </w:rPr>
        <w:t xml:space="preserve"> sector</w:t>
      </w:r>
      <w:r>
        <w:rPr>
          <w:rFonts w:ascii="Times New Roman" w:hAnsi="Times New Roman" w:cs="Times New Roman"/>
          <w:szCs w:val="24"/>
        </w:rPr>
        <w:t xml:space="preserve">’s capacity to absorb </w:t>
      </w:r>
      <w:r>
        <w:rPr>
          <w:rFonts w:hint="eastAsia" w:ascii="Times New Roman" w:hAnsi="Times New Roman" w:cs="Times New Roman"/>
          <w:szCs w:val="24"/>
        </w:rPr>
        <w:t xml:space="preserve">external </w:t>
      </w:r>
      <w:r>
        <w:rPr>
          <w:rFonts w:ascii="Times New Roman" w:hAnsi="Times New Roman" w:cs="Times New Roman"/>
          <w:szCs w:val="24"/>
        </w:rPr>
        <w:t xml:space="preserve">shocks. </w:t>
      </w:r>
      <w:r>
        <w:rPr>
          <w:rFonts w:hint="eastAsia" w:ascii="Times New Roman" w:hAnsi="Times New Roman" w:cs="Times New Roman"/>
          <w:szCs w:val="24"/>
        </w:rPr>
        <w:t>Enhanc</w:t>
      </w:r>
      <w:r>
        <w:rPr>
          <w:rFonts w:ascii="Times New Roman" w:hAnsi="Times New Roman" w:cs="Times New Roman"/>
          <w:szCs w:val="24"/>
        </w:rPr>
        <w:t>ed</w:t>
      </w:r>
      <w:r>
        <w:rPr>
          <w:rFonts w:hint="eastAsia" w:ascii="Times New Roman" w:hAnsi="Times New Roman" w:cs="Times New Roman"/>
          <w:szCs w:val="24"/>
        </w:rPr>
        <w:t xml:space="preserve"> </w:t>
      </w:r>
      <w:r>
        <w:rPr>
          <w:rFonts w:ascii="Times New Roman" w:hAnsi="Times New Roman" w:cs="Times New Roman"/>
          <w:szCs w:val="24"/>
        </w:rPr>
        <w:t>transport infrastructure increases logistic</w:t>
      </w:r>
      <w:r>
        <w:rPr>
          <w:rFonts w:hint="eastAsia" w:ascii="Times New Roman" w:hAnsi="Times New Roman" w:cs="Times New Roman"/>
          <w:szCs w:val="24"/>
        </w:rPr>
        <w:t>al</w:t>
      </w:r>
      <w:r>
        <w:rPr>
          <w:rFonts w:ascii="Times New Roman" w:hAnsi="Times New Roman" w:cs="Times New Roman"/>
          <w:szCs w:val="24"/>
        </w:rPr>
        <w:t xml:space="preserve"> efficiency and </w:t>
      </w:r>
      <w:r>
        <w:rPr>
          <w:rFonts w:hint="eastAsia" w:ascii="Times New Roman" w:hAnsi="Times New Roman" w:cs="Times New Roman"/>
          <w:szCs w:val="24"/>
        </w:rPr>
        <w:t>i</w:t>
      </w:r>
      <w:r>
        <w:rPr>
          <w:rFonts w:ascii="Times New Roman" w:hAnsi="Times New Roman" w:cs="Times New Roman"/>
          <w:szCs w:val="24"/>
        </w:rPr>
        <w:t>mprov</w:t>
      </w:r>
      <w:r>
        <w:rPr>
          <w:rFonts w:hint="eastAsia" w:ascii="Times New Roman" w:hAnsi="Times New Roman" w:cs="Times New Roman"/>
          <w:szCs w:val="24"/>
        </w:rPr>
        <w:t xml:space="preserve">es </w:t>
      </w:r>
      <w:r>
        <w:rPr>
          <w:rFonts w:ascii="Times New Roman" w:hAnsi="Times New Roman" w:cs="Times New Roman"/>
          <w:szCs w:val="24"/>
        </w:rPr>
        <w:t>resource allocation, enabling a more rapid response to risks such as extreme weather or supply chain interruptions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&lt;EndNote&gt;&lt;Cite&gt;&lt;Author&gt;Huiqiang&lt;/Author&gt;&lt;Year&gt;2023&lt;/Year&gt;&lt;RecNum&gt;55&lt;/RecNum&gt;&lt;DisplayText&gt; (Huiqiang &amp;amp; Xiaodi, 2023)&lt;/DisplayText&gt;&lt;record&gt;&lt;rec-number&gt;55&lt;/rec-number&gt;&lt;foreign-keys&gt;&lt;key app="EN" db-id="dv0v2adwc2etf1ep9tapzzz5vffpepr5wxwa" timestamp="1765094648"&gt;55&lt;/key&gt;&lt;/foreign-keys&gt;&lt;ref-type name="Journal Article"&gt;17&lt;/ref-type&gt;&lt;contributors&gt;&lt;authors&gt;&lt;author&gt;Huiqiang, XIE&lt;/author&gt;&lt;author&gt;Xiaodi, WU&lt;/author&gt;&lt;/authors&gt;&lt;/contributors&gt;&lt;titles&gt;&lt;title&gt;Impact and its mechanism of urban-rural integration on the efficiency of agricultural carbon emissions in China&lt;/title&gt;&lt;secondary-title&gt;Resources Science&lt;/secondary-title&gt;&lt;/titles&gt;&lt;periodical&gt;&lt;full-title&gt;Resources Science&lt;/full-title&gt;&lt;/periodical&gt;&lt;pages&gt;48-61&lt;/pages&gt;&lt;volume&gt;45&lt;/volume&gt;&lt;number&gt;1&lt;/number&gt;&lt;dates&gt;&lt;year&gt;2023&lt;/year&gt;&lt;/dates&gt;&lt;isbn&gt;1007-7588&lt;/isbn&gt;&lt;urls&gt;&lt;/urls&gt;&lt;electronic-resource-num&gt;10.18402/resci.2023.01.04&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"_ENREF_22" \o "Huiqiang, 2023 #55" </w:instrText>
      </w:r>
      <w:r>
        <w:fldChar w:fldCharType="separate"/>
      </w:r>
      <w:r>
        <w:rPr>
          <w:rStyle w:val="23"/>
          <w:rFonts w:hint="eastAsia"/>
        </w:rPr>
        <w:t>Huiqiang &amp; Xiaodi, 2023</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 xml:space="preserve">Similarly, </w:t>
      </w:r>
      <w:r>
        <w:rPr>
          <w:rFonts w:hint="eastAsia" w:ascii="Times New Roman" w:hAnsi="Times New Roman" w:cs="Times New Roman"/>
          <w:szCs w:val="24"/>
        </w:rPr>
        <w:t>the rise</w:t>
      </w:r>
      <w:r>
        <w:rPr>
          <w:rFonts w:ascii="Times New Roman" w:hAnsi="Times New Roman" w:cs="Times New Roman"/>
          <w:szCs w:val="24"/>
        </w:rPr>
        <w:t xml:space="preserve"> in per capita arable land in rural areas facilitate</w:t>
      </w:r>
      <w:r>
        <w:rPr>
          <w:rFonts w:hint="eastAsia" w:ascii="Times New Roman" w:hAnsi="Times New Roman" w:cs="Times New Roman"/>
          <w:szCs w:val="24"/>
        </w:rPr>
        <w:t xml:space="preserve">s </w:t>
      </w:r>
      <w:r>
        <w:rPr>
          <w:rFonts w:ascii="Times New Roman" w:hAnsi="Times New Roman" w:cs="Times New Roman"/>
          <w:szCs w:val="24"/>
        </w:rPr>
        <w:t>large-scale and mechanized farming</w:t>
      </w:r>
      <w:r>
        <w:rPr>
          <w:rFonts w:hint="eastAsia" w:ascii="Times New Roman" w:hAnsi="Times New Roman" w:cs="Times New Roman"/>
          <w:szCs w:val="24"/>
        </w:rPr>
        <w:t xml:space="preserve">, </w:t>
      </w:r>
      <w:r>
        <w:rPr>
          <w:rFonts w:ascii="Times New Roman" w:hAnsi="Times New Roman" w:cs="Times New Roman"/>
          <w:szCs w:val="24"/>
        </w:rPr>
        <w:t xml:space="preserve">while </w:t>
      </w:r>
      <w:r>
        <w:rPr>
          <w:rFonts w:hint="eastAsia" w:ascii="Times New Roman" w:hAnsi="Times New Roman" w:cs="Times New Roman"/>
          <w:szCs w:val="24"/>
        </w:rPr>
        <w:t>encouraging</w:t>
      </w:r>
      <w:r>
        <w:rPr>
          <w:rFonts w:ascii="Times New Roman" w:hAnsi="Times New Roman" w:cs="Times New Roman"/>
          <w:szCs w:val="24"/>
        </w:rPr>
        <w:t xml:space="preserve"> the </w:t>
      </w:r>
      <w:r>
        <w:rPr>
          <w:rFonts w:hint="eastAsia" w:ascii="Times New Roman" w:hAnsi="Times New Roman" w:cs="Times New Roman"/>
          <w:szCs w:val="24"/>
        </w:rPr>
        <w:t>emergence</w:t>
      </w:r>
      <w:r>
        <w:rPr>
          <w:rFonts w:ascii="Times New Roman" w:hAnsi="Times New Roman" w:cs="Times New Roman"/>
          <w:szCs w:val="24"/>
        </w:rPr>
        <w:t xml:space="preserve"> of new agricultural business entities</w:t>
      </w:r>
      <w:r>
        <w:rPr>
          <w:rFonts w:hint="eastAsia" w:ascii="Times New Roman" w:hAnsi="Times New Roman" w:cs="Times New Roman"/>
          <w:szCs w:val="24"/>
        </w:rPr>
        <w:t xml:space="preserve"> </w:t>
      </w:r>
      <w:r>
        <w:rPr>
          <w:rFonts w:ascii="Times New Roman" w:hAnsi="Times New Roman" w:cs="Times New Roman"/>
          <w:szCs w:val="24"/>
        </w:rPr>
        <w:t>such as cooperatives and family farms, thereby reinforcing the system</w:t>
      </w:r>
      <w:r>
        <w:rPr>
          <w:rFonts w:hint="eastAsia" w:ascii="Times New Roman" w:hAnsi="Times New Roman" w:cs="Times New Roman"/>
          <w:szCs w:val="24"/>
        </w:rPr>
        <w:t>ic</w:t>
      </w:r>
      <w:r>
        <w:rPr>
          <w:rFonts w:ascii="Times New Roman" w:hAnsi="Times New Roman" w:cs="Times New Roman"/>
          <w:szCs w:val="24"/>
        </w:rPr>
        <w:t xml:space="preserve"> ability to withstand risk</w:t>
      </w:r>
      <w:r>
        <w:rPr>
          <w:rFonts w:hint="eastAsia" w:ascii="Times New Roman" w:hAnsi="Times New Roman" w:cs="Times New Roman"/>
          <w:szCs w:val="24"/>
          <w:lang w:val="en-US" w:eastAsia="zh-CN"/>
        </w:rPr>
        <w:t>s</w:t>
      </w:r>
      <w:r>
        <w:rPr>
          <w:rFonts w:hint="eastAsia" w:ascii="Times New Roman" w:hAnsi="Times New Roman" w:cs="Times New Roman"/>
          <w:szCs w:val="24"/>
        </w:rPr>
        <w:t>.</w:t>
      </w:r>
    </w:p>
    <w:p w14:paraId="4F306B3A">
      <w:pPr>
        <w:adjustRightInd w:val="0"/>
        <w:spacing w:line="480" w:lineRule="auto"/>
        <w:ind w:firstLine="482"/>
        <w:rPr>
          <w:rFonts w:ascii="Times New Roman" w:hAnsi="Times New Roman" w:cs="Times New Roman"/>
          <w:szCs w:val="24"/>
        </w:rPr>
      </w:pPr>
      <w:r>
        <w:rPr>
          <w:rFonts w:ascii="Times New Roman" w:hAnsi="Times New Roman" w:cs="Times New Roman"/>
          <w:b/>
          <w:bCs/>
          <w:szCs w:val="24"/>
        </w:rPr>
        <w:t xml:space="preserve">Second, NTU </w:t>
      </w:r>
      <w:r>
        <w:rPr>
          <w:rFonts w:hint="eastAsia" w:ascii="Times New Roman" w:hAnsi="Times New Roman" w:cs="Times New Roman"/>
          <w:b/>
          <w:bCs/>
          <w:szCs w:val="24"/>
        </w:rPr>
        <w:t>supports</w:t>
      </w:r>
      <w:r>
        <w:rPr>
          <w:rFonts w:ascii="Times New Roman" w:hAnsi="Times New Roman" w:cs="Times New Roman"/>
          <w:b/>
          <w:bCs/>
          <w:szCs w:val="24"/>
        </w:rPr>
        <w:t xml:space="preserve"> the adaptive adjustment of agricultural systems. </w:t>
      </w:r>
      <w:r>
        <w:rPr>
          <w:rFonts w:ascii="Times New Roman" w:hAnsi="Times New Roman" w:cs="Times New Roman"/>
          <w:szCs w:val="24"/>
        </w:rPr>
        <w:t xml:space="preserve">AER not only reflects resistance to external shocks but also the capacity for self-repair and post-shock adjustment. </w:t>
      </w:r>
      <w:r>
        <w:rPr>
          <w:rFonts w:hint="eastAsia" w:ascii="Times New Roman" w:hAnsi="Times New Roman" w:cs="Times New Roman"/>
          <w:szCs w:val="24"/>
        </w:rPr>
        <w:t>Through i</w:t>
      </w:r>
      <w:r>
        <w:rPr>
          <w:rFonts w:ascii="Times New Roman" w:hAnsi="Times New Roman" w:cs="Times New Roman"/>
          <w:szCs w:val="24"/>
        </w:rPr>
        <w:t xml:space="preserve">ndustrial integration and </w:t>
      </w:r>
      <w:r>
        <w:rPr>
          <w:rFonts w:hint="eastAsia" w:ascii="Times New Roman" w:hAnsi="Times New Roman" w:cs="Times New Roman"/>
          <w:szCs w:val="24"/>
        </w:rPr>
        <w:t>reinforc</w:t>
      </w:r>
      <w:r>
        <w:rPr>
          <w:rFonts w:ascii="Times New Roman" w:hAnsi="Times New Roman" w:cs="Times New Roman"/>
          <w:szCs w:val="24"/>
        </w:rPr>
        <w:t>ed policy support</w:t>
      </w:r>
      <w:r>
        <w:rPr>
          <w:rFonts w:hint="eastAsia" w:ascii="Times New Roman" w:hAnsi="Times New Roman" w:cs="Times New Roman"/>
          <w:szCs w:val="24"/>
        </w:rPr>
        <w:t xml:space="preserve">, </w:t>
      </w:r>
      <w:r>
        <w:rPr>
          <w:rFonts w:ascii="Times New Roman" w:hAnsi="Times New Roman" w:cs="Times New Roman"/>
          <w:szCs w:val="24"/>
        </w:rPr>
        <w:t>NTU enhance</w:t>
      </w:r>
      <w:r>
        <w:rPr>
          <w:rFonts w:hint="eastAsia" w:ascii="Times New Roman" w:hAnsi="Times New Roman" w:cs="Times New Roman"/>
          <w:szCs w:val="24"/>
        </w:rPr>
        <w:t>s</w:t>
      </w:r>
      <w:r>
        <w:rPr>
          <w:rFonts w:ascii="Times New Roman" w:hAnsi="Times New Roman" w:cs="Times New Roman"/>
          <w:szCs w:val="24"/>
        </w:rPr>
        <w:t xml:space="preserve"> the dynamic adaptability of agriculture. For instance, </w:t>
      </w:r>
      <w:r>
        <w:rPr>
          <w:rFonts w:hint="eastAsia" w:ascii="Times New Roman" w:hAnsi="Times New Roman" w:cs="Times New Roman"/>
          <w:szCs w:val="24"/>
        </w:rPr>
        <w:t xml:space="preserve">the </w:t>
      </w:r>
      <w:r>
        <w:rPr>
          <w:rFonts w:ascii="Times New Roman" w:hAnsi="Times New Roman" w:cs="Times New Roman"/>
          <w:szCs w:val="24"/>
        </w:rPr>
        <w:t xml:space="preserve">integration </w:t>
      </w:r>
      <w:r>
        <w:rPr>
          <w:rFonts w:hint="eastAsia" w:ascii="Times New Roman" w:hAnsi="Times New Roman" w:cs="Times New Roman"/>
          <w:szCs w:val="24"/>
        </w:rPr>
        <w:t xml:space="preserve">of </w:t>
      </w:r>
      <w:r>
        <w:rPr>
          <w:rFonts w:ascii="Times New Roman" w:hAnsi="Times New Roman" w:cs="Times New Roman"/>
          <w:szCs w:val="24"/>
        </w:rPr>
        <w:t>rural industri</w:t>
      </w:r>
      <w:r>
        <w:rPr>
          <w:rFonts w:hint="eastAsia" w:ascii="Times New Roman" w:hAnsi="Times New Roman" w:cs="Times New Roman"/>
          <w:szCs w:val="24"/>
        </w:rPr>
        <w:t>es</w:t>
      </w:r>
      <w:r>
        <w:rPr>
          <w:rFonts w:ascii="Times New Roman" w:hAnsi="Times New Roman" w:cs="Times New Roman"/>
          <w:szCs w:val="24"/>
        </w:rPr>
        <w:t xml:space="preserve"> introduces </w:t>
      </w:r>
      <w:r>
        <w:rPr>
          <w:rFonts w:hint="eastAsia" w:ascii="Times New Roman" w:hAnsi="Times New Roman" w:cs="Times New Roman"/>
          <w:szCs w:val="24"/>
        </w:rPr>
        <w:t>innovative</w:t>
      </w:r>
      <w:r>
        <w:rPr>
          <w:rFonts w:ascii="Times New Roman" w:hAnsi="Times New Roman" w:cs="Times New Roman"/>
          <w:szCs w:val="24"/>
        </w:rPr>
        <w:t xml:space="preserve"> production and management </w:t>
      </w:r>
      <w:r>
        <w:rPr>
          <w:rFonts w:hint="eastAsia" w:ascii="Times New Roman" w:hAnsi="Times New Roman" w:cs="Times New Roman"/>
          <w:szCs w:val="24"/>
        </w:rPr>
        <w:t>model</w:t>
      </w:r>
      <w:r>
        <w:rPr>
          <w:rFonts w:ascii="Times New Roman" w:hAnsi="Times New Roman" w:cs="Times New Roman"/>
          <w:szCs w:val="24"/>
        </w:rPr>
        <w:t>s, diversifies farmers’ income sources and operational methods</w:t>
      </w:r>
      <w:r>
        <w:rPr>
          <w:rFonts w:hint="eastAsia" w:ascii="Times New Roman" w:hAnsi="Times New Roman" w:cs="Times New Roman"/>
          <w:szCs w:val="24"/>
        </w:rPr>
        <w:t>,</w:t>
      </w:r>
      <w:r>
        <w:rPr>
          <w:rFonts w:ascii="Times New Roman" w:hAnsi="Times New Roman" w:cs="Times New Roman"/>
          <w:szCs w:val="24"/>
        </w:rPr>
        <w:t xml:space="preserve"> and enables flexible structural adjustments </w:t>
      </w:r>
      <w:r>
        <w:rPr>
          <w:rFonts w:hint="eastAsia" w:ascii="Times New Roman" w:hAnsi="Times New Roman" w:cs="Times New Roman"/>
          <w:szCs w:val="24"/>
        </w:rPr>
        <w:t>that help</w:t>
      </w:r>
      <w:r>
        <w:rPr>
          <w:rFonts w:ascii="Times New Roman" w:hAnsi="Times New Roman" w:cs="Times New Roman"/>
          <w:szCs w:val="24"/>
        </w:rPr>
        <w:t xml:space="preserve"> stabilize </w:t>
      </w:r>
      <w:r>
        <w:rPr>
          <w:rFonts w:hint="eastAsia" w:ascii="Times New Roman" w:hAnsi="Times New Roman" w:cs="Times New Roman"/>
          <w:szCs w:val="24"/>
        </w:rPr>
        <w:t>earnings amid disruptions</w:t>
      </w:r>
      <w:r>
        <w:rPr>
          <w:rFonts w:ascii="Times New Roman" w:hAnsi="Times New Roman" w:cs="Times New Roman"/>
          <w:szCs w:val="24"/>
        </w:rPr>
        <w:fldChar w:fldCharType="begin">
          <w:fldData xml:space="preserve">PEVuZE5vdGU+PENpdGU+PEF1dGhvcj5NZW5nPC9BdXRob3I+PFllYXI+MjAyNTwvWWVhcj48UmVj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</w:fldData>
        </w:fldChar>
      </w:r>
      <w:r>
        <w:rPr>
          <w:rFonts w:ascii="Times New Roman" w:hAnsi="Times New Roman" w:cs="Times New Roman"/>
          <w:szCs w:val="24"/>
        </w:rPr>
        <w:instrText xml:space="preserve"> ADDIN EN.CITE </w:instrText>
      </w:r>
      <w:r>
        <w:rPr>
          <w:rFonts w:ascii="Times New Roman" w:hAnsi="Times New Roman" w:cs="Times New Roman"/>
          <w:szCs w:val="24"/>
        </w:rPr>
        <w:fldChar w:fldCharType="begin">
          <w:fldData xml:space="preserve">PEVuZE5vdGU+PENpdGU+PEF1dGhvcj5NZW5nPC9BdXRob3I+PFllYXI+MjAyNTwvWWVhcj48UmVj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</w:fldData>
        </w:fldChar>
      </w:r>
      <w:r>
        <w:rPr>
          <w:rFonts w:ascii="Times New Roman" w:hAnsi="Times New Roman" w:cs="Times New Roman"/>
          <w:szCs w:val="24"/>
        </w:rPr>
        <w:instrText xml:space="preserve"> ADDIN EN.CITE.DATA </w:instrText>
      </w:r>
      <w:r>
        <w:rPr>
          <w:rFonts w:ascii="Times New Roman" w:hAnsi="Times New Roman" w:cs="Times New Roman"/>
          <w:szCs w:val="24"/>
        </w:rPr>
        <w:fldChar w:fldCharType="end"/>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"_ENREF_32" \o "Meng, 2025 #57" </w:instrText>
      </w:r>
      <w:r>
        <w:fldChar w:fldCharType="separate"/>
      </w:r>
      <w:r>
        <w:rPr>
          <w:rStyle w:val="23"/>
          <w:rFonts w:hint="eastAsia"/>
        </w:rPr>
        <w:t>Meng et al., 2025</w:t>
      </w:r>
      <w:r>
        <w:rPr>
          <w:rStyle w:val="23"/>
          <w:rFonts w:hint="eastAsia"/>
        </w:rPr>
        <w:fldChar w:fldCharType="end"/>
      </w:r>
      <w:r>
        <w:rPr>
          <w:rFonts w:ascii="Times New Roman" w:hAnsi="Times New Roman" w:cs="Times New Roman"/>
          <w:szCs w:val="24"/>
        </w:rPr>
        <w:t xml:space="preserve">; </w:t>
      </w:r>
      <w:r>
        <w:fldChar w:fldCharType="begin"/>
      </w:r>
      <w:r>
        <w:instrText xml:space="preserve"> HYPERLINK \l "_ENREF_11" \o "Duan, 2022 #58" </w:instrText>
      </w:r>
      <w:r>
        <w:fldChar w:fldCharType="separate"/>
      </w:r>
      <w:r>
        <w:rPr>
          <w:rStyle w:val="23"/>
          <w:rFonts w:hint="eastAsia"/>
        </w:rPr>
        <w:t>Duan et al., 2022</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Concurrently, government-led initiatives under the strategic guidance of NTU</w:t>
      </w:r>
      <w:r>
        <w:rPr>
          <w:rFonts w:hint="eastAsia" w:ascii="Times New Roman" w:hAnsi="Times New Roman" w:cs="Times New Roman"/>
          <w:szCs w:val="24"/>
        </w:rPr>
        <w:t>-</w:t>
      </w:r>
      <w:r>
        <w:rPr>
          <w:rFonts w:ascii="Times New Roman" w:hAnsi="Times New Roman" w:cs="Times New Roman"/>
          <w:szCs w:val="24"/>
        </w:rPr>
        <w:t>such as raised agricultural subsidies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&lt;EndNote&gt;&lt;Cite&gt;&lt;Author&gt;Fan&lt;/Author&gt;&lt;Year&gt;2023&lt;/Year&gt;&lt;RecNum&gt;59&lt;/RecNum&gt;&lt;DisplayText&gt; (Fan et al., 2023)&lt;/DisplayText&gt;&lt;record&gt;&lt;rec-number&gt;59&lt;/rec-number&gt;&lt;foreign-keys&gt;&lt;key app="EN" db-id="dv0v2adwc2etf1ep9tapzzz5vffpepr5wxwa" timestamp="1765096414"&gt;59&lt;/key&gt;&lt;/foreign-keys&gt;&lt;ref-type name="Journal Article"&gt;17&lt;/ref-type&gt;&lt;contributors&gt;&lt;authors&gt;&lt;author&gt;Fan, Pengfei&lt;/author&gt;&lt;author&gt;Mishra, Ashok K.&lt;/author&gt;&lt;author&gt;Feng, Shuyi&lt;/author&gt;&lt;author&gt;Su, Min&lt;/author&gt;&lt;author&gt;Hirsch, Stefan&lt;/author&gt;&lt;/authors&gt;&lt;/contributors&gt;&lt;titles&gt;&lt;title&gt;The impact of China’s new agricultural subsidy policy on grain crop acreage&lt;/title&gt;&lt;secondary-title&gt;Food Policy&lt;/secondary-title&gt;&lt;/titles&gt;&lt;periodical&gt;&lt;full-title&gt;Food Policy&lt;/full-title&gt;&lt;/periodical&gt;&lt;volume&gt;118&lt;/volume&gt;&lt;section&gt;102472&lt;/section&gt;&lt;dates&gt;&lt;year&gt;2023&lt;/year&gt;&lt;/dates&gt;&lt;isbn&gt;03069192&lt;/isbn&gt;&lt;urls&gt;&lt;/urls&gt;&lt;electronic-resource-num&gt;10.1016/j.foodpol.2023.102472&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"_ENREF_13" \o "Fan, 2023 #59" </w:instrText>
      </w:r>
      <w:r>
        <w:fldChar w:fldCharType="separate"/>
      </w:r>
      <w:r>
        <w:rPr>
          <w:rStyle w:val="23"/>
          <w:rFonts w:hint="eastAsia"/>
        </w:rPr>
        <w:t>Fan et al., 2023</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ascii="Times New Roman" w:hAnsi="Times New Roman" w:cs="Times New Roman"/>
          <w:szCs w:val="24"/>
        </w:rPr>
        <w:t>, upgrade</w:t>
      </w:r>
      <w:r>
        <w:rPr>
          <w:rFonts w:hint="eastAsia" w:ascii="Times New Roman" w:hAnsi="Times New Roman" w:cs="Times New Roman"/>
          <w:szCs w:val="24"/>
        </w:rPr>
        <w:t xml:space="preserve">d </w:t>
      </w:r>
      <w:r>
        <w:rPr>
          <w:rFonts w:ascii="Times New Roman" w:hAnsi="Times New Roman" w:cs="Times New Roman"/>
          <w:szCs w:val="24"/>
        </w:rPr>
        <w:t>rural infrastructure</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&lt;EndNote&gt;&lt;Cite&gt;&lt;Author&gt;Han&lt;/Author&gt;&lt;Year&gt;2025&lt;/Year&gt;&lt;RecNum&gt;48&lt;/RecNum&gt;&lt;DisplayText&gt; (Han et al., 2025)&lt;/DisplayText&gt;&lt;record&gt;&lt;rec-number&gt;48&lt;/rec-number&gt;&lt;foreign-keys&gt;&lt;key app="EN" db-id="dv0v2adwc2etf1ep9tapzzz5vffpepr5wxwa" timestamp="1765093962"&gt;48&lt;/key&gt;&lt;/foreign-keys&gt;&lt;ref-type name="Journal Article"&gt;17&lt;/ref-type&gt;&lt;contributors&gt;&lt;authors&gt;&lt;author&gt;Han, Peng&lt;/author&gt;&lt;author&gt;Liu, Hanfeng&lt;/author&gt;&lt;author&gt;Chen, Yuhe&lt;/author&gt;&lt;/authors&gt;&lt;/contributors&gt;&lt;titles&gt;&lt;title&gt;Aging, financial coverage, and agricultural economic resilience: Nonlinear dynamics and thresholds&lt;/title&gt;&lt;secondary-title&gt;Finance Research Letters&lt;/secondary-title&gt;&lt;/titles&gt;&lt;periodical&gt;&lt;full-title&gt;Finance Research Letters&lt;/full-title&gt;&lt;/periodical&gt;&lt;pages&gt;e107518&lt;/pages&gt;&lt;dates&gt;&lt;year&gt;2025&lt;/year&gt;&lt;/dates&gt;&lt;isbn&gt;1544-6123&lt;/isbn&gt;&lt;urls&gt;&lt;/urls&gt;&lt;electronic-resource-num&gt;10.1016/j.frl.2025.107518&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"_ENREF_18" \o "Han, 2025 #48" </w:instrText>
      </w:r>
      <w:r>
        <w:fldChar w:fldCharType="separate"/>
      </w:r>
      <w:r>
        <w:rPr>
          <w:rStyle w:val="23"/>
          <w:rFonts w:hint="eastAsia"/>
        </w:rPr>
        <w:t>Han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ascii="Times New Roman" w:hAnsi="Times New Roman" w:cs="Times New Roman"/>
          <w:szCs w:val="24"/>
        </w:rPr>
        <w:t xml:space="preserve">, and expanded policy </w:t>
      </w:r>
      <w:r>
        <w:rPr>
          <w:rFonts w:hint="eastAsia" w:ascii="Times New Roman" w:hAnsi="Times New Roman" w:cs="Times New Roman"/>
          <w:szCs w:val="24"/>
        </w:rPr>
        <w:t>backing-</w:t>
      </w:r>
      <w:r>
        <w:rPr>
          <w:rFonts w:ascii="Times New Roman" w:hAnsi="Times New Roman" w:cs="Times New Roman"/>
          <w:szCs w:val="24"/>
        </w:rPr>
        <w:t>provide</w:t>
      </w:r>
      <w:r>
        <w:rPr>
          <w:rFonts w:hint="eastAsia" w:ascii="Times New Roman" w:hAnsi="Times New Roman" w:cs="Times New Roman"/>
          <w:szCs w:val="24"/>
        </w:rPr>
        <w:t xml:space="preserve"> </w:t>
      </w:r>
      <w:r>
        <w:rPr>
          <w:rFonts w:ascii="Times New Roman" w:hAnsi="Times New Roman" w:cs="Times New Roman"/>
          <w:szCs w:val="24"/>
        </w:rPr>
        <w:t>institutional safeguards</w:t>
      </w:r>
      <w:r>
        <w:rPr>
          <w:rFonts w:hint="eastAsia" w:ascii="Times New Roman" w:hAnsi="Times New Roman" w:cs="Times New Roman"/>
          <w:szCs w:val="24"/>
        </w:rPr>
        <w:t xml:space="preserve"> that </w:t>
      </w:r>
      <w:r>
        <w:rPr>
          <w:rFonts w:ascii="Times New Roman" w:hAnsi="Times New Roman" w:cs="Times New Roman"/>
          <w:szCs w:val="24"/>
        </w:rPr>
        <w:t>mitigat</w:t>
      </w:r>
      <w:r>
        <w:rPr>
          <w:rFonts w:hint="eastAsia" w:ascii="Times New Roman" w:hAnsi="Times New Roman" w:cs="Times New Roman"/>
          <w:szCs w:val="24"/>
        </w:rPr>
        <w:t>e</w:t>
      </w:r>
      <w:r>
        <w:rPr>
          <w:rFonts w:ascii="Times New Roman" w:hAnsi="Times New Roman" w:cs="Times New Roman"/>
          <w:szCs w:val="24"/>
        </w:rPr>
        <w:t xml:space="preserve"> the </w:t>
      </w:r>
      <w:r>
        <w:rPr>
          <w:rFonts w:hint="eastAsia" w:ascii="Times New Roman" w:hAnsi="Times New Roman" w:cs="Times New Roman"/>
          <w:szCs w:val="24"/>
        </w:rPr>
        <w:t>negative impacts</w:t>
      </w:r>
      <w:r>
        <w:rPr>
          <w:rFonts w:ascii="Times New Roman" w:hAnsi="Times New Roman" w:cs="Times New Roman"/>
          <w:szCs w:val="24"/>
        </w:rPr>
        <w:t xml:space="preserve"> of market volatility on high-quality agricultural development</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&lt;EndNote&gt;&lt;Cite&gt;&lt;Author&gt;Jetter&lt;/Author&gt;&lt;Year&gt;2018&lt;/Year&gt;&lt;RecNum&gt;61&lt;/RecNum&gt;&lt;DisplayText&gt; (Jetter &amp;amp; Parmeter, 2018)&lt;/DisplayText&gt;&lt;record&gt;&lt;rec-number&gt;61&lt;/rec-number&gt;&lt;foreign-keys&gt;&lt;key app="EN" db-id="dv0v2adwc2etf1ep9tapzzz5vffpepr5wxwa" timestamp="1765101837"&gt;61&lt;/key&gt;&lt;/foreign-keys&gt;&lt;ref-type name="Journal Article"&gt;17&lt;/ref-type&gt;&lt;contributors&gt;&lt;authors&gt;&lt;author&gt;Jetter, Michael&lt;/author&gt;&lt;author&gt;Parmeter, Christopher F&lt;/author&gt;&lt;/authors&gt;&lt;/contributors&gt;&lt;titles&gt;&lt;title&gt;Does urbanization mean bigger governments?&lt;/title&gt;&lt;secondary-title&gt;The Scandinavian Journal of Economics&lt;/secondary-title&gt;&lt;/titles&gt;&lt;periodical&gt;&lt;full-title&gt;The Scandinavian Journal of Economics&lt;/full-title&gt;&lt;/periodical&gt;&lt;pages&gt;1202-1228&lt;/pages&gt;&lt;volume&gt;120&lt;/volume&gt;&lt;number&gt;4&lt;/number&gt;&lt;dates&gt;&lt;year&gt;2018&lt;/year&gt;&lt;/dates&gt;&lt;isbn&gt;0347-0520&lt;/isbn&gt;&lt;urls&gt;&lt;/urls&gt;&lt;electronic-resource-num&gt;10.1111/sjoe.12256&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"_ENREF_23" \o "Jetter, 2018 #61" </w:instrText>
      </w:r>
      <w:r>
        <w:fldChar w:fldCharType="separate"/>
      </w:r>
      <w:r>
        <w:rPr>
          <w:rStyle w:val="23"/>
          <w:rFonts w:hint="eastAsia"/>
        </w:rPr>
        <w:t>Jetter &amp; Parmeter, 2018</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ascii="Times New Roman" w:hAnsi="Times New Roman" w:cs="Times New Roman"/>
          <w:szCs w:val="24"/>
        </w:rPr>
        <w:t>.</w:t>
      </w:r>
    </w:p>
    <w:p w14:paraId="0F8E5E4C">
      <w:pPr>
        <w:adjustRightInd w:val="0"/>
        <w:spacing w:line="480" w:lineRule="auto"/>
        <w:ind w:firstLine="482"/>
        <w:rPr>
          <w:rFonts w:ascii="Times New Roman" w:hAnsi="Times New Roman" w:cs="Times New Roman"/>
          <w:szCs w:val="24"/>
        </w:rPr>
      </w:pPr>
      <w:r>
        <w:rPr>
          <w:rFonts w:ascii="Times New Roman" w:hAnsi="Times New Roman" w:cs="Times New Roman"/>
          <w:b/>
          <w:bCs/>
          <w:szCs w:val="24"/>
        </w:rPr>
        <w:t xml:space="preserve">Finally, NTU </w:t>
      </w:r>
      <w:r>
        <w:rPr>
          <w:rFonts w:hint="eastAsia" w:ascii="Times New Roman" w:hAnsi="Times New Roman" w:cs="Times New Roman"/>
          <w:b/>
          <w:bCs/>
          <w:szCs w:val="24"/>
        </w:rPr>
        <w:t>drives</w:t>
      </w:r>
      <w:r>
        <w:rPr>
          <w:rFonts w:ascii="Times New Roman" w:hAnsi="Times New Roman" w:cs="Times New Roman"/>
          <w:b/>
          <w:bCs/>
          <w:szCs w:val="24"/>
        </w:rPr>
        <w:t xml:space="preserve"> transformative innovation </w:t>
      </w:r>
      <w:r>
        <w:rPr>
          <w:rFonts w:hint="eastAsia" w:ascii="Times New Roman" w:hAnsi="Times New Roman" w:cs="Times New Roman"/>
          <w:b/>
          <w:bCs/>
          <w:szCs w:val="24"/>
        </w:rPr>
        <w:t>with</w:t>
      </w:r>
      <w:r>
        <w:rPr>
          <w:rFonts w:ascii="Times New Roman" w:hAnsi="Times New Roman" w:cs="Times New Roman"/>
          <w:b/>
          <w:bCs/>
          <w:szCs w:val="24"/>
        </w:rPr>
        <w:t>in agriculture.</w:t>
      </w:r>
      <w:r>
        <w:rPr>
          <w:rFonts w:ascii="Times New Roman" w:hAnsi="Times New Roman" w:cs="Times New Roman"/>
          <w:szCs w:val="24"/>
        </w:rPr>
        <w:t xml:space="preserve"> </w:t>
      </w:r>
      <w:r>
        <w:rPr>
          <w:rFonts w:hint="eastAsia" w:ascii="Times New Roman" w:hAnsi="Times New Roman" w:cs="Times New Roman"/>
          <w:szCs w:val="24"/>
        </w:rPr>
        <w:t>In</w:t>
      </w:r>
      <w:r>
        <w:rPr>
          <w:rFonts w:ascii="Times New Roman" w:hAnsi="Times New Roman" w:cs="Times New Roman"/>
          <w:szCs w:val="24"/>
        </w:rPr>
        <w:t xml:space="preserve"> the current stage of agricultural development, technological advancement and systemic transformation are essential drivers of resilience. </w:t>
      </w:r>
      <w:r>
        <w:rPr>
          <w:rFonts w:hint="eastAsia" w:ascii="Times New Roman" w:hAnsi="Times New Roman" w:cs="Times New Roman"/>
          <w:szCs w:val="24"/>
        </w:rPr>
        <w:t>U</w:t>
      </w:r>
      <w:r>
        <w:rPr>
          <w:rFonts w:ascii="Times New Roman" w:hAnsi="Times New Roman" w:cs="Times New Roman"/>
          <w:szCs w:val="24"/>
        </w:rPr>
        <w:t>rban-rural Integrat</w:t>
      </w:r>
      <w:r>
        <w:rPr>
          <w:rFonts w:hint="eastAsia" w:ascii="Times New Roman" w:hAnsi="Times New Roman" w:cs="Times New Roman"/>
          <w:szCs w:val="24"/>
        </w:rPr>
        <w:t>ion</w:t>
      </w:r>
      <w:r>
        <w:rPr>
          <w:rFonts w:ascii="Times New Roman" w:hAnsi="Times New Roman" w:cs="Times New Roman"/>
          <w:szCs w:val="24"/>
        </w:rPr>
        <w:t xml:space="preserve"> facilitates the flow of land, capital, and skilled </w:t>
      </w:r>
      <w:r>
        <w:rPr>
          <w:rFonts w:hint="eastAsia" w:ascii="Times New Roman" w:hAnsi="Times New Roman" w:cs="Times New Roman"/>
          <w:szCs w:val="24"/>
        </w:rPr>
        <w:t xml:space="preserve">labor </w:t>
      </w:r>
      <w:r>
        <w:rPr>
          <w:rFonts w:ascii="Times New Roman" w:hAnsi="Times New Roman" w:cs="Times New Roman"/>
          <w:szCs w:val="24"/>
        </w:rPr>
        <w:t>from urban to rural areas</w:t>
      </w:r>
      <w:r>
        <w:rPr>
          <w:rFonts w:hint="eastAsia" w:ascii="Times New Roman" w:hAnsi="Times New Roman" w:cs="Times New Roman"/>
          <w:szCs w:val="24"/>
        </w:rPr>
        <w:t xml:space="preserve">, accelerating </w:t>
      </w:r>
      <w:r>
        <w:rPr>
          <w:rFonts w:ascii="Times New Roman" w:hAnsi="Times New Roman" w:cs="Times New Roman"/>
          <w:szCs w:val="24"/>
        </w:rPr>
        <w:t>the adoption of</w:t>
      </w:r>
      <w:r>
        <w:rPr>
          <w:rFonts w:hint="eastAsia" w:ascii="Times New Roman" w:hAnsi="Times New Roman" w:cs="Times New Roman"/>
          <w:szCs w:val="24"/>
        </w:rPr>
        <w:t xml:space="preserve"> advanced</w:t>
      </w:r>
      <w:r>
        <w:rPr>
          <w:rFonts w:ascii="Times New Roman" w:hAnsi="Times New Roman" w:cs="Times New Roman"/>
          <w:szCs w:val="24"/>
        </w:rPr>
        <w:t xml:space="preserve"> technologies and</w:t>
      </w:r>
      <w:r>
        <w:rPr>
          <w:rFonts w:hint="eastAsia" w:ascii="Times New Roman" w:hAnsi="Times New Roman" w:cs="Times New Roman"/>
          <w:szCs w:val="24"/>
        </w:rPr>
        <w:t xml:space="preserve"> modern practices</w:t>
      </w:r>
      <w:r>
        <w:rPr>
          <w:rFonts w:ascii="Times New Roman" w:hAnsi="Times New Roman" w:cs="Times New Roman"/>
          <w:szCs w:val="24"/>
        </w:rPr>
        <w:t xml:space="preserve">. </w:t>
      </w:r>
      <w:r>
        <w:rPr>
          <w:rFonts w:hint="eastAsia" w:ascii="Times New Roman" w:hAnsi="Times New Roman" w:cs="Times New Roman"/>
          <w:szCs w:val="24"/>
        </w:rPr>
        <w:t>Furthermore</w:t>
      </w:r>
      <w:r>
        <w:rPr>
          <w:rFonts w:ascii="Times New Roman" w:hAnsi="Times New Roman" w:cs="Times New Roman"/>
          <w:szCs w:val="24"/>
        </w:rPr>
        <w:t xml:space="preserve">, </w:t>
      </w:r>
      <w:r>
        <w:rPr>
          <w:rFonts w:hint="eastAsia" w:ascii="Times New Roman" w:hAnsi="Times New Roman" w:cs="Times New Roman"/>
          <w:szCs w:val="24"/>
        </w:rPr>
        <w:t xml:space="preserve">the </w:t>
      </w:r>
      <w:r>
        <w:rPr>
          <w:rFonts w:ascii="Times New Roman" w:hAnsi="Times New Roman" w:cs="Times New Roman"/>
          <w:szCs w:val="24"/>
        </w:rPr>
        <w:t>diffusion</w:t>
      </w:r>
      <w:r>
        <w:rPr>
          <w:rFonts w:hint="eastAsia" w:ascii="Times New Roman" w:hAnsi="Times New Roman" w:cs="Times New Roman"/>
          <w:szCs w:val="24"/>
        </w:rPr>
        <w:t xml:space="preserve"> of </w:t>
      </w:r>
      <w:r>
        <w:rPr>
          <w:rFonts w:ascii="Times New Roman" w:hAnsi="Times New Roman" w:cs="Times New Roman"/>
          <w:szCs w:val="24"/>
        </w:rPr>
        <w:t xml:space="preserve">advanced urban production </w:t>
      </w:r>
      <w:r>
        <w:rPr>
          <w:rFonts w:hint="eastAsia" w:ascii="Times New Roman" w:hAnsi="Times New Roman" w:cs="Times New Roman"/>
          <w:szCs w:val="24"/>
        </w:rPr>
        <w:t>models</w:t>
      </w:r>
      <w:r>
        <w:rPr>
          <w:rFonts w:ascii="Times New Roman" w:hAnsi="Times New Roman" w:cs="Times New Roman"/>
          <w:szCs w:val="24"/>
        </w:rPr>
        <w:t xml:space="preserve"> into rural settings promotes the application of innovations</w:t>
      </w:r>
      <w:r>
        <w:rPr>
          <w:rFonts w:hint="eastAsia" w:ascii="Times New Roman" w:hAnsi="Times New Roman" w:cs="Times New Roman"/>
          <w:szCs w:val="24"/>
        </w:rPr>
        <w:t xml:space="preserve"> </w:t>
      </w:r>
      <w:r>
        <w:rPr>
          <w:rFonts w:ascii="Times New Roman" w:hAnsi="Times New Roman" w:cs="Times New Roman"/>
          <w:szCs w:val="24"/>
        </w:rPr>
        <w:t xml:space="preserve">such as </w:t>
      </w:r>
      <w:r>
        <w:rPr>
          <w:rFonts w:hint="eastAsia" w:ascii="Times New Roman" w:hAnsi="Times New Roman" w:cs="Times New Roman"/>
          <w:szCs w:val="24"/>
        </w:rPr>
        <w:t>improved</w:t>
      </w:r>
      <w:r>
        <w:rPr>
          <w:rFonts w:ascii="Times New Roman" w:hAnsi="Times New Roman" w:cs="Times New Roman"/>
          <w:szCs w:val="24"/>
        </w:rPr>
        <w:t xml:space="preserve"> crop varieties, modern irrigation systems, and precision agriculture,</w:t>
      </w:r>
      <w:r>
        <w:rPr>
          <w:rFonts w:hint="eastAsia" w:ascii="Times New Roman" w:hAnsi="Times New Roman" w:cs="Times New Roman"/>
          <w:szCs w:val="24"/>
        </w:rPr>
        <w:t xml:space="preserve"> which </w:t>
      </w:r>
      <w:r>
        <w:rPr>
          <w:rFonts w:ascii="Times New Roman" w:hAnsi="Times New Roman" w:cs="Times New Roman"/>
          <w:szCs w:val="24"/>
        </w:rPr>
        <w:t>collectively enhance</w:t>
      </w:r>
      <w:r>
        <w:rPr>
          <w:rFonts w:hint="eastAsia" w:ascii="Times New Roman" w:hAnsi="Times New Roman" w:cs="Times New Roman"/>
          <w:szCs w:val="24"/>
        </w:rPr>
        <w:t xml:space="preserve"> </w:t>
      </w:r>
      <w:r>
        <w:rPr>
          <w:rFonts w:ascii="Times New Roman" w:hAnsi="Times New Roman" w:cs="Times New Roman"/>
          <w:szCs w:val="24"/>
        </w:rPr>
        <w:t>resource</w:t>
      </w:r>
      <w:r>
        <w:rPr>
          <w:rFonts w:hint="eastAsia" w:ascii="Times New Roman" w:hAnsi="Times New Roman" w:cs="Times New Roman"/>
          <w:szCs w:val="24"/>
        </w:rPr>
        <w:t xml:space="preserve">-use </w:t>
      </w:r>
      <w:r>
        <w:rPr>
          <w:rFonts w:ascii="Times New Roman" w:hAnsi="Times New Roman" w:cs="Times New Roman"/>
          <w:szCs w:val="24"/>
        </w:rPr>
        <w:t>efficiency and overall system productivity</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&lt;EndNote&gt;&lt;Cite&gt;&lt;Author&gt;Cao&lt;/Author&gt;&lt;Year&gt;2022&lt;/Year&gt;&lt;RecNum&gt;62&lt;/RecNum&gt;&lt;DisplayText&gt; (Cao et al., 2022)&lt;/DisplayText&gt;&lt;record&gt;&lt;rec-number&gt;62&lt;/rec-number&gt;&lt;foreign-keys&gt;&lt;key app="EN" db-id="dv0v2adwc2etf1ep9tapzzz5vffpepr5wxwa" timestamp="1765101968"&gt;62&lt;/key&gt;&lt;/foreign-keys&gt;&lt;ref-type name="Journal Article"&gt;17&lt;/ref-type&gt;&lt;contributors&gt;&lt;authors&gt;&lt;author&gt;Cao, Yuxin&lt;/author&gt;&lt;author&gt;Cai, Huanjie&lt;/author&gt;&lt;author&gt;Sun, Shikun&lt;/author&gt;&lt;author&gt;Gu, Xiaobo&lt;/author&gt;&lt;author&gt;Mu, Qing&lt;/author&gt;&lt;author&gt;Duan, Weina&lt;/author&gt;&lt;author&gt;Zhao, Zhengxin&lt;/author&gt;&lt;/authors&gt;&lt;/contributors&gt;&lt;titles&gt;&lt;title&gt;Effects of drip irrigation methods on yield and water productivity of maize in Northwest China&lt;/title&gt;&lt;secondary-title&gt;Agricultural water management&lt;/secondary-title&gt;&lt;/titles&gt;&lt;periodical&gt;&lt;full-title&gt;Agricultural water management&lt;/full-title&gt;&lt;/periodical&gt;&lt;pages&gt;107227&lt;/pages&gt;&lt;volume&gt;259&lt;/volume&gt;&lt;dates&gt;&lt;year&gt;2022&lt;/year&gt;&lt;/dates&gt;&lt;isbn&gt;0378-3774&lt;/isbn&gt;&lt;urls&gt;&lt;/urls&gt;&lt;electronic-resource-num&gt;10.1016/j.agwat.2021.107227&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"_ENREF_4" \o "Cao, 2022 #62" </w:instrText>
      </w:r>
      <w:r>
        <w:fldChar w:fldCharType="separate"/>
      </w:r>
      <w:r>
        <w:rPr>
          <w:rStyle w:val="23"/>
          <w:rFonts w:hint="eastAsia"/>
        </w:rPr>
        <w:t>Cao et al., 2022</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Based on the above</w:t>
      </w:r>
      <w:r>
        <w:rPr>
          <w:rFonts w:hint="eastAsia" w:ascii="Times New Roman" w:hAnsi="Times New Roman" w:cs="Times New Roman"/>
          <w:szCs w:val="24"/>
        </w:rPr>
        <w:t xml:space="preserve"> analysis</w:t>
      </w:r>
      <w:r>
        <w:rPr>
          <w:rFonts w:ascii="Times New Roman" w:hAnsi="Times New Roman" w:cs="Times New Roman"/>
          <w:szCs w:val="24"/>
        </w:rPr>
        <w:t>, the following hypothesis is proposed:</w:t>
      </w:r>
    </w:p>
    <w:p w14:paraId="7E0B9CC2">
      <w:pPr>
        <w:spacing w:line="480" w:lineRule="auto"/>
        <w:rPr>
          <w:rFonts w:ascii="Times New Roman" w:hAnsi="Times New Roman" w:cs="Times New Roman"/>
          <w:szCs w:val="24"/>
        </w:rPr>
      </w:pPr>
      <w:r>
        <w:rPr>
          <w:rFonts w:ascii="Times New Roman" w:hAnsi="Times New Roman" w:cs="Times New Roman"/>
          <w:b/>
          <w:bCs/>
          <w:szCs w:val="24"/>
        </w:rPr>
        <w:t>Hypothesis</w:t>
      </w:r>
      <w:r>
        <w:rPr>
          <w:rFonts w:hint="eastAsia" w:ascii="Times New Roman" w:hAnsi="Times New Roman" w:cs="Times New Roman"/>
          <w:b/>
          <w:bCs/>
          <w:szCs w:val="24"/>
        </w:rPr>
        <w:t>1:</w:t>
      </w:r>
      <w:r>
        <w:rPr>
          <w:rFonts w:hint="eastAsia" w:ascii="Times New Roman" w:hAnsi="Times New Roman" w:cs="Times New Roman"/>
          <w:szCs w:val="24"/>
        </w:rPr>
        <w:t xml:space="preserve"> </w:t>
      </w:r>
      <w:r>
        <w:rPr>
          <w:rFonts w:ascii="Times New Roman" w:hAnsi="Times New Roman" w:cs="Times New Roman"/>
          <w:szCs w:val="24"/>
        </w:rPr>
        <w:t>N</w:t>
      </w:r>
      <w:r>
        <w:rPr>
          <w:rFonts w:hint="eastAsia" w:ascii="Times New Roman" w:hAnsi="Times New Roman" w:cs="Times New Roman"/>
          <w:szCs w:val="24"/>
        </w:rPr>
        <w:t>TU</w:t>
      </w:r>
      <w:r>
        <w:rPr>
          <w:rFonts w:ascii="Times New Roman" w:hAnsi="Times New Roman" w:cs="Times New Roman"/>
          <w:szCs w:val="24"/>
        </w:rPr>
        <w:t xml:space="preserve"> contributes positively to </w:t>
      </w:r>
      <w:r>
        <w:rPr>
          <w:rFonts w:hint="eastAsia" w:ascii="Times New Roman" w:hAnsi="Times New Roman" w:cs="Times New Roman"/>
          <w:szCs w:val="24"/>
        </w:rPr>
        <w:t>AER</w:t>
      </w:r>
      <w:r>
        <w:rPr>
          <w:rFonts w:ascii="Times New Roman" w:hAnsi="Times New Roman" w:cs="Times New Roman"/>
          <w:szCs w:val="24"/>
        </w:rPr>
        <w:t>.</w:t>
      </w:r>
    </w:p>
    <w:p w14:paraId="1E89C5B9">
      <w:pPr>
        <w:spacing w:after="120" w:afterLines="50" w:line="480" w:lineRule="auto"/>
        <w:rPr>
          <w:rFonts w:hint="eastAsia" w:ascii="Times New Roman" w:hAnsi="Times New Roman" w:cs="Times New Roman"/>
          <w:b/>
          <w:bCs/>
          <w:szCs w:val="24"/>
        </w:rPr>
      </w:pPr>
      <w:bookmarkStart w:id="8" w:name="OLE_LINK11"/>
      <w:r>
        <w:rPr>
          <w:rFonts w:hint="eastAsia" w:ascii="Times New Roman" w:hAnsi="Times New Roman" w:cs="Times New Roman"/>
          <w:b/>
          <w:bCs/>
          <w:szCs w:val="24"/>
        </w:rPr>
        <w:t>2.2. Mediating Effects of GTI and AEA</w:t>
      </w:r>
    </w:p>
    <w:p w14:paraId="26731ECE">
      <w:pPr>
        <w:spacing w:line="480" w:lineRule="auto"/>
        <w:ind w:firstLine="482"/>
        <w:rPr>
          <w:rFonts w:ascii="Times New Roman" w:hAnsi="Times New Roman" w:cs="Times New Roman"/>
          <w:szCs w:val="24"/>
        </w:rPr>
      </w:pPr>
      <w:r>
        <w:rPr>
          <w:rFonts w:hint="eastAsia" w:ascii="Times New Roman" w:hAnsi="Times New Roman" w:cs="Times New Roman"/>
          <w:szCs w:val="24"/>
        </w:rPr>
        <w:t>In</w:t>
      </w:r>
      <w:r>
        <w:rPr>
          <w:rFonts w:ascii="Times New Roman" w:hAnsi="Times New Roman" w:cs="Times New Roman"/>
          <w:szCs w:val="24"/>
        </w:rPr>
        <w:t xml:space="preserve"> the process of NTU, GTI and AEA </w:t>
      </w:r>
      <w:r>
        <w:rPr>
          <w:rFonts w:hint="eastAsia" w:ascii="Times New Roman" w:hAnsi="Times New Roman" w:cs="Times New Roman"/>
          <w:szCs w:val="24"/>
        </w:rPr>
        <w:t>act</w:t>
      </w:r>
      <w:r>
        <w:rPr>
          <w:rFonts w:ascii="Times New Roman" w:hAnsi="Times New Roman" w:cs="Times New Roman"/>
          <w:szCs w:val="24"/>
        </w:rPr>
        <w:t xml:space="preserve"> as critical transmission mechanisms </w:t>
      </w:r>
      <w:r>
        <w:rPr>
          <w:rFonts w:hint="eastAsia" w:ascii="Times New Roman" w:hAnsi="Times New Roman" w:cs="Times New Roman"/>
          <w:szCs w:val="24"/>
        </w:rPr>
        <w:t xml:space="preserve">through which NTU </w:t>
      </w:r>
      <w:r>
        <w:rPr>
          <w:rFonts w:ascii="Times New Roman" w:hAnsi="Times New Roman" w:cs="Times New Roman"/>
          <w:szCs w:val="24"/>
        </w:rPr>
        <w:t>enhance</w:t>
      </w:r>
      <w:r>
        <w:rPr>
          <w:rFonts w:hint="eastAsia" w:ascii="Times New Roman" w:hAnsi="Times New Roman" w:cs="Times New Roman"/>
          <w:szCs w:val="24"/>
        </w:rPr>
        <w:t>s</w:t>
      </w:r>
      <w:r>
        <w:rPr>
          <w:rFonts w:ascii="Times New Roman" w:hAnsi="Times New Roman" w:cs="Times New Roman"/>
          <w:szCs w:val="24"/>
        </w:rPr>
        <w:t xml:space="preserve"> AER.</w:t>
      </w:r>
      <w:r>
        <w:rPr>
          <w:rFonts w:hint="eastAsia" w:ascii="Times New Roman" w:hAnsi="Times New Roman" w:cs="Times New Roman"/>
          <w:szCs w:val="24"/>
        </w:rPr>
        <w:t xml:space="preserve"> </w:t>
      </w:r>
      <w:r>
        <w:rPr>
          <w:rFonts w:ascii="Times New Roman" w:hAnsi="Times New Roman" w:cs="Times New Roman"/>
          <w:szCs w:val="24"/>
        </w:rPr>
        <w:t xml:space="preserve">NTU </w:t>
      </w:r>
      <w:r>
        <w:rPr>
          <w:rFonts w:hint="eastAsia" w:ascii="Times New Roman" w:hAnsi="Times New Roman" w:cs="Times New Roman"/>
          <w:szCs w:val="24"/>
        </w:rPr>
        <w:t>drive</w:t>
      </w:r>
      <w:r>
        <w:rPr>
          <w:rFonts w:ascii="Times New Roman" w:hAnsi="Times New Roman" w:cs="Times New Roman"/>
          <w:szCs w:val="24"/>
        </w:rPr>
        <w:t>s</w:t>
      </w:r>
      <w:r>
        <w:rPr>
          <w:rFonts w:hint="eastAsia" w:ascii="Times New Roman" w:hAnsi="Times New Roman" w:cs="Times New Roman"/>
          <w:szCs w:val="24"/>
        </w:rPr>
        <w:t xml:space="preserve"> the </w:t>
      </w:r>
      <w:r>
        <w:rPr>
          <w:rFonts w:ascii="Times New Roman" w:hAnsi="Times New Roman" w:cs="Times New Roman"/>
          <w:szCs w:val="24"/>
        </w:rPr>
        <w:t>green transformation</w:t>
      </w:r>
      <w:r>
        <w:rPr>
          <w:rFonts w:hint="eastAsia" w:ascii="Times New Roman" w:hAnsi="Times New Roman" w:cs="Times New Roman"/>
          <w:szCs w:val="24"/>
        </w:rPr>
        <w:t xml:space="preserve"> of </w:t>
      </w:r>
      <w:r>
        <w:rPr>
          <w:rFonts w:ascii="Times New Roman" w:hAnsi="Times New Roman" w:cs="Times New Roman"/>
          <w:szCs w:val="24"/>
        </w:rPr>
        <w:t>agricultur</w:t>
      </w:r>
      <w:r>
        <w:rPr>
          <w:rFonts w:hint="eastAsia" w:ascii="Times New Roman" w:hAnsi="Times New Roman" w:cs="Times New Roman"/>
          <w:szCs w:val="24"/>
        </w:rPr>
        <w:t>e</w:t>
      </w:r>
      <w:r>
        <w:rPr>
          <w:rFonts w:ascii="Times New Roman" w:hAnsi="Times New Roman" w:cs="Times New Roman"/>
          <w:szCs w:val="24"/>
        </w:rPr>
        <w:t xml:space="preserve"> by </w:t>
      </w:r>
      <w:r>
        <w:rPr>
          <w:rFonts w:hint="eastAsia" w:ascii="Times New Roman" w:hAnsi="Times New Roman" w:cs="Times New Roman"/>
          <w:szCs w:val="24"/>
        </w:rPr>
        <w:t>facilitat</w:t>
      </w:r>
      <w:r>
        <w:rPr>
          <w:rFonts w:ascii="Times New Roman" w:hAnsi="Times New Roman" w:cs="Times New Roman"/>
          <w:szCs w:val="24"/>
        </w:rPr>
        <w:t xml:space="preserve">ing factor reallocation and institutional optimization. </w:t>
      </w:r>
      <w:r>
        <w:rPr>
          <w:rFonts w:hint="eastAsia" w:ascii="Times New Roman" w:hAnsi="Times New Roman" w:cs="Times New Roman"/>
          <w:szCs w:val="24"/>
        </w:rPr>
        <w:t xml:space="preserve">The </w:t>
      </w:r>
      <w:r>
        <w:rPr>
          <w:rFonts w:ascii="Times New Roman" w:hAnsi="Times New Roman" w:cs="Times New Roman"/>
          <w:szCs w:val="24"/>
        </w:rPr>
        <w:t>agglomeration effects</w:t>
      </w:r>
      <w:r>
        <w:rPr>
          <w:rFonts w:hint="eastAsia" w:ascii="Times New Roman" w:hAnsi="Times New Roman" w:cs="Times New Roman"/>
          <w:szCs w:val="24"/>
        </w:rPr>
        <w:t xml:space="preserve"> associated with urbanization attract </w:t>
      </w:r>
      <w:r>
        <w:rPr>
          <w:rFonts w:ascii="Times New Roman" w:hAnsi="Times New Roman" w:cs="Times New Roman"/>
          <w:szCs w:val="24"/>
        </w:rPr>
        <w:t xml:space="preserve">skilled </w:t>
      </w:r>
      <w:r>
        <w:rPr>
          <w:rFonts w:hint="eastAsia" w:ascii="Times New Roman" w:hAnsi="Times New Roman" w:cs="Times New Roman"/>
          <w:szCs w:val="24"/>
        </w:rPr>
        <w:t>human capital</w:t>
      </w:r>
      <w:r>
        <w:rPr>
          <w:rFonts w:ascii="Times New Roman" w:hAnsi="Times New Roman" w:cs="Times New Roman"/>
          <w:szCs w:val="24"/>
        </w:rPr>
        <w:t xml:space="preserve"> and </w:t>
      </w:r>
      <w:r>
        <w:rPr>
          <w:rFonts w:hint="eastAsia" w:ascii="Times New Roman" w:hAnsi="Times New Roman" w:cs="Times New Roman"/>
          <w:szCs w:val="24"/>
        </w:rPr>
        <w:t xml:space="preserve">increase </w:t>
      </w:r>
      <w:r>
        <w:rPr>
          <w:rFonts w:ascii="Times New Roman" w:hAnsi="Times New Roman" w:cs="Times New Roman"/>
          <w:szCs w:val="24"/>
        </w:rPr>
        <w:t xml:space="preserve">R&amp;D investment into </w:t>
      </w:r>
      <w:r>
        <w:rPr>
          <w:rFonts w:hint="eastAsia" w:ascii="Times New Roman" w:hAnsi="Times New Roman" w:cs="Times New Roman"/>
          <w:szCs w:val="24"/>
        </w:rPr>
        <w:t xml:space="preserve">the </w:t>
      </w:r>
      <w:r>
        <w:rPr>
          <w:rFonts w:ascii="Times New Roman" w:hAnsi="Times New Roman" w:cs="Times New Roman"/>
          <w:szCs w:val="24"/>
        </w:rPr>
        <w:t>agricultur</w:t>
      </w:r>
      <w:r>
        <w:rPr>
          <w:rFonts w:hint="eastAsia" w:ascii="Times New Roman" w:hAnsi="Times New Roman" w:cs="Times New Roman"/>
          <w:szCs w:val="24"/>
        </w:rPr>
        <w:t xml:space="preserve">al sector, </w:t>
      </w:r>
      <w:r>
        <w:rPr>
          <w:rFonts w:ascii="Times New Roman" w:hAnsi="Times New Roman" w:cs="Times New Roman"/>
          <w:szCs w:val="24"/>
        </w:rPr>
        <w:t>accelerating the dissemination and application of green technologies</w:t>
      </w:r>
      <w:r>
        <w:rPr>
          <w:rFonts w:hint="eastAsia" w:ascii="Times New Roman" w:hAnsi="Times New Roman" w:cs="Times New Roman"/>
          <w:szCs w:val="24"/>
        </w:rPr>
        <w:t>-</w:t>
      </w:r>
      <w:r>
        <w:rPr>
          <w:rFonts w:ascii="Times New Roman" w:hAnsi="Times New Roman" w:cs="Times New Roman"/>
          <w:szCs w:val="24"/>
        </w:rPr>
        <w:t>such as precision fertilization and smart farming</w:t>
      </w:r>
      <w:r>
        <w:rPr>
          <w:rFonts w:hint="eastAsia" w:ascii="Times New Roman" w:hAnsi="Times New Roman" w:cs="Times New Roman"/>
          <w:szCs w:val="24"/>
        </w:rPr>
        <w:t>-which in turn significantly raise</w:t>
      </w:r>
      <w:r>
        <w:rPr>
          <w:rFonts w:ascii="Times New Roman" w:hAnsi="Times New Roman" w:cs="Times New Roman"/>
          <w:szCs w:val="24"/>
        </w:rPr>
        <w:t xml:space="preserve"> agricultural productivity and operational accuracy.</w:t>
      </w:r>
      <w:r>
        <w:rPr>
          <w:rFonts w:hint="eastAsia" w:ascii="Times New Roman" w:hAnsi="Times New Roman" w:cs="Times New Roman"/>
          <w:szCs w:val="24"/>
        </w:rPr>
        <w:t xml:space="preserve"> </w:t>
      </w:r>
      <w:r>
        <w:rPr>
          <w:rFonts w:ascii="Times New Roman" w:hAnsi="Times New Roman" w:cs="Times New Roman"/>
          <w:szCs w:val="24"/>
        </w:rPr>
        <w:t xml:space="preserve">In addition, NTU stimulates entrepreneurial </w:t>
      </w:r>
      <w:r>
        <w:rPr>
          <w:rFonts w:hint="eastAsia" w:ascii="Times New Roman" w:hAnsi="Times New Roman" w:cs="Times New Roman"/>
          <w:szCs w:val="24"/>
        </w:rPr>
        <w:t>vitality</w:t>
      </w:r>
      <w:r>
        <w:rPr>
          <w:rFonts w:ascii="Times New Roman" w:hAnsi="Times New Roman" w:cs="Times New Roman"/>
          <w:szCs w:val="24"/>
        </w:rPr>
        <w:t xml:space="preserve"> in rural areas by </w:t>
      </w:r>
      <w:r>
        <w:rPr>
          <w:rFonts w:hint="eastAsia" w:ascii="Times New Roman" w:hAnsi="Times New Roman" w:cs="Times New Roman"/>
          <w:szCs w:val="24"/>
        </w:rPr>
        <w:t>advanc</w:t>
      </w:r>
      <w:r>
        <w:rPr>
          <w:rFonts w:ascii="Times New Roman" w:hAnsi="Times New Roman" w:cs="Times New Roman"/>
          <w:szCs w:val="24"/>
        </w:rPr>
        <w:t>ing education,</w:t>
      </w:r>
      <w:r>
        <w:rPr>
          <w:rFonts w:hint="eastAsia" w:ascii="Times New Roman" w:hAnsi="Times New Roman" w:cs="Times New Roman"/>
          <w:szCs w:val="24"/>
        </w:rPr>
        <w:t xml:space="preserve"> fostering </w:t>
      </w:r>
      <w:r>
        <w:rPr>
          <w:rFonts w:ascii="Times New Roman" w:hAnsi="Times New Roman" w:cs="Times New Roman"/>
          <w:szCs w:val="24"/>
        </w:rPr>
        <w:t xml:space="preserve">human capital accumulation, and </w:t>
      </w:r>
      <w:r>
        <w:rPr>
          <w:rFonts w:hint="eastAsia" w:ascii="Times New Roman" w:hAnsi="Times New Roman" w:cs="Times New Roman"/>
          <w:szCs w:val="24"/>
        </w:rPr>
        <w:t>improving the local</w:t>
      </w:r>
      <w:r>
        <w:rPr>
          <w:rFonts w:ascii="Times New Roman" w:hAnsi="Times New Roman" w:cs="Times New Roman"/>
          <w:szCs w:val="24"/>
        </w:rPr>
        <w:t xml:space="preserve"> entrepreneurial environment</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&lt;EndNote&gt;&lt;Cite&gt;&lt;Author&gt;Ma&lt;/Author&gt;&lt;Year&gt;2025&lt;/Year&gt;&lt;RecNum&gt;63&lt;/RecNum&gt;&lt;DisplayText&gt; (Ma et al., 2025)&lt;/DisplayText&gt;&lt;record&gt;&lt;rec-number&gt;63&lt;/rec-number&gt;&lt;foreign-keys&gt;&lt;key app="EN" db-id="dv0v2adwc2etf1ep9tapzzz5vffpepr5wxwa" timestamp="1765102102"&gt;63&lt;/key&gt;&lt;/foreign-keys&gt;&lt;ref-type name="Journal Article"&gt;17&lt;/ref-type&gt;&lt;contributors&gt;&lt;authors&gt;&lt;author&gt;Ma, Haitao&lt;/author&gt;&lt;author&gt;Wang, Kewen&lt;/author&gt;&lt;author&gt;Fang, Chuanglin&lt;/author&gt;&lt;/authors&gt;&lt;/contributors&gt;&lt;titles&gt;&lt;title&gt;How does new-type urbanization promote green development efficiency in China? The mediating role of governments, enterprises, and residents&lt;/title&gt;&lt;secondary-title&gt;Geography and Sustainability&lt;/secondary-title&gt;&lt;/titles&gt;&lt;periodical&gt;&lt;full-title&gt;Geography and Sustainability&lt;/full-title&gt;&lt;/periodical&gt;&lt;volume&gt;6&lt;/volume&gt;&lt;number&gt;3&lt;/number&gt;&lt;section&gt;100241&lt;/section&gt;&lt;dates&gt;&lt;year&gt;2025&lt;/year&gt;&lt;/dates&gt;&lt;isbn&gt;26666839&lt;/isbn&gt;&lt;urls&gt;&lt;/urls&gt;&lt;electronic-resource-num&gt;10.1016/j.geosus.2024.10.001&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"_ENREF_31" \o "Ma, 2025 #63" </w:instrText>
      </w:r>
      <w:r>
        <w:fldChar w:fldCharType="separate"/>
      </w:r>
      <w:r>
        <w:rPr>
          <w:rStyle w:val="23"/>
          <w:rFonts w:hint="eastAsia"/>
        </w:rPr>
        <w:t>Ma et al., 2025</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 xml:space="preserve">The return of highly skilled </w:t>
      </w:r>
      <w:r>
        <w:rPr>
          <w:rFonts w:hint="eastAsia" w:ascii="Times New Roman" w:hAnsi="Times New Roman" w:cs="Times New Roman"/>
          <w:szCs w:val="24"/>
        </w:rPr>
        <w:t xml:space="preserve">talent </w:t>
      </w:r>
      <w:r>
        <w:rPr>
          <w:rFonts w:ascii="Times New Roman" w:hAnsi="Times New Roman" w:cs="Times New Roman"/>
          <w:szCs w:val="24"/>
        </w:rPr>
        <w:t xml:space="preserve">to rural areas </w:t>
      </w:r>
      <w:r>
        <w:rPr>
          <w:rFonts w:hint="eastAsia" w:ascii="Times New Roman" w:hAnsi="Times New Roman" w:cs="Times New Roman"/>
          <w:szCs w:val="24"/>
        </w:rPr>
        <w:t xml:space="preserve">promotes resource interaction between urban and </w:t>
      </w:r>
      <w:r>
        <w:rPr>
          <w:rFonts w:ascii="Times New Roman" w:hAnsi="Times New Roman" w:cs="Times New Roman"/>
          <w:szCs w:val="24"/>
        </w:rPr>
        <w:t xml:space="preserve">rural </w:t>
      </w:r>
      <w:r>
        <w:rPr>
          <w:rFonts w:hint="eastAsia" w:ascii="Times New Roman" w:hAnsi="Times New Roman" w:cs="Times New Roman"/>
          <w:szCs w:val="24"/>
        </w:rPr>
        <w:t xml:space="preserve">economies </w:t>
      </w:r>
      <w:r>
        <w:rPr>
          <w:rFonts w:ascii="Times New Roman" w:hAnsi="Times New Roman" w:cs="Times New Roman"/>
          <w:szCs w:val="24"/>
        </w:rPr>
        <w:t>and</w:t>
      </w:r>
      <w:r>
        <w:rPr>
          <w:rFonts w:hint="eastAsia" w:ascii="Times New Roman" w:hAnsi="Times New Roman" w:cs="Times New Roman"/>
          <w:szCs w:val="24"/>
        </w:rPr>
        <w:t xml:space="preserve"> aids</w:t>
      </w:r>
      <w:r>
        <w:rPr>
          <w:rFonts w:ascii="Times New Roman" w:hAnsi="Times New Roman" w:cs="Times New Roman"/>
          <w:szCs w:val="24"/>
        </w:rPr>
        <w:t xml:space="preserve"> the trans</w:t>
      </w:r>
      <w:r>
        <w:rPr>
          <w:rFonts w:hint="eastAsia" w:ascii="Times New Roman" w:hAnsi="Times New Roman" w:cs="Times New Roman"/>
          <w:szCs w:val="24"/>
        </w:rPr>
        <w:t>i</w:t>
      </w:r>
      <w:r>
        <w:rPr>
          <w:rFonts w:ascii="Times New Roman" w:hAnsi="Times New Roman" w:cs="Times New Roman"/>
          <w:szCs w:val="24"/>
        </w:rPr>
        <w:t>tion of agricultural operators from traditional smallholders to more diversified and large-scale</w:t>
      </w:r>
      <w:r>
        <w:rPr>
          <w:rFonts w:hint="eastAsia" w:ascii="Times New Roman" w:hAnsi="Times New Roman" w:cs="Times New Roman"/>
          <w:szCs w:val="24"/>
        </w:rPr>
        <w:t>d</w:t>
      </w:r>
      <w:r>
        <w:rPr>
          <w:rFonts w:ascii="Times New Roman" w:hAnsi="Times New Roman" w:cs="Times New Roman"/>
          <w:szCs w:val="24"/>
        </w:rPr>
        <w:t xml:space="preserve"> entities. </w:t>
      </w:r>
      <w:r>
        <w:rPr>
          <w:rFonts w:hint="eastAsia" w:ascii="Times New Roman" w:hAnsi="Times New Roman" w:cs="Times New Roman"/>
          <w:szCs w:val="24"/>
        </w:rPr>
        <w:t xml:space="preserve">This rise in </w:t>
      </w:r>
      <w:r>
        <w:rPr>
          <w:rFonts w:ascii="Times New Roman" w:hAnsi="Times New Roman" w:cs="Times New Roman"/>
          <w:szCs w:val="24"/>
        </w:rPr>
        <w:t>entrepreneurial activity</w:t>
      </w:r>
      <w:r>
        <w:rPr>
          <w:rFonts w:hint="eastAsia" w:ascii="Times New Roman" w:hAnsi="Times New Roman" w:cs="Times New Roman"/>
          <w:szCs w:val="24"/>
        </w:rPr>
        <w:t xml:space="preserve"> enables</w:t>
      </w:r>
      <w:r>
        <w:rPr>
          <w:rFonts w:ascii="Times New Roman" w:hAnsi="Times New Roman" w:cs="Times New Roman"/>
          <w:szCs w:val="24"/>
        </w:rPr>
        <w:t xml:space="preserve"> more efficient resource allocation</w:t>
      </w:r>
      <w:r>
        <w:rPr>
          <w:rFonts w:hint="eastAsia" w:ascii="Times New Roman" w:hAnsi="Times New Roman" w:cs="Times New Roman"/>
          <w:szCs w:val="24"/>
          <w:lang w:val="en-US" w:eastAsia="zh-CN"/>
        </w:rPr>
        <w:t xml:space="preserve"> </w:t>
      </w:r>
      <w:r>
        <w:rPr>
          <w:rFonts w:hint="eastAsia" w:ascii="Times New Roman" w:hAnsi="Times New Roman" w:cs="Times New Roman"/>
          <w:szCs w:val="24"/>
        </w:rPr>
        <w:t>and</w:t>
      </w:r>
      <w:r>
        <w:rPr>
          <w:rFonts w:hint="eastAsia" w:ascii="Times New Roman" w:hAnsi="Times New Roman" w:cs="Times New Roman"/>
          <w:szCs w:val="24"/>
          <w:lang w:val="en-US" w:eastAsia="zh-CN"/>
        </w:rPr>
        <w:t xml:space="preserve"> </w:t>
      </w:r>
      <w:r>
        <w:rPr>
          <w:rFonts w:ascii="Times New Roman" w:hAnsi="Times New Roman" w:cs="Times New Roman"/>
          <w:szCs w:val="24"/>
        </w:rPr>
        <w:t>wider adoption of innovative technologies</w:t>
      </w:r>
      <w:r>
        <w:rPr>
          <w:rFonts w:hint="eastAsia" w:ascii="Times New Roman" w:hAnsi="Times New Roman" w:cs="Times New Roman"/>
          <w:szCs w:val="24"/>
        </w:rPr>
        <w:t xml:space="preserve">, </w:t>
      </w:r>
      <w:r>
        <w:rPr>
          <w:rFonts w:ascii="Times New Roman" w:hAnsi="Times New Roman" w:cs="Times New Roman"/>
          <w:szCs w:val="24"/>
        </w:rPr>
        <w:t>ultimately enhanc</w:t>
      </w:r>
      <w:r>
        <w:rPr>
          <w:rFonts w:hint="eastAsia" w:ascii="Times New Roman" w:hAnsi="Times New Roman" w:cs="Times New Roman"/>
          <w:szCs w:val="24"/>
          <w:lang w:val="en-US" w:eastAsia="zh-CN"/>
        </w:rPr>
        <w:t>ing</w:t>
      </w:r>
      <w:r>
        <w:rPr>
          <w:rFonts w:hint="eastAsia" w:ascii="Times New Roman" w:hAnsi="Times New Roman" w:cs="Times New Roman"/>
          <w:szCs w:val="24"/>
        </w:rPr>
        <w:t xml:space="preserve"> </w:t>
      </w:r>
      <w:r>
        <w:rPr>
          <w:rFonts w:ascii="Times New Roman" w:hAnsi="Times New Roman" w:cs="Times New Roman"/>
          <w:szCs w:val="24"/>
        </w:rPr>
        <w:t>the adaptive and self-repair capacit</w:t>
      </w:r>
      <w:r>
        <w:rPr>
          <w:rFonts w:hint="eastAsia" w:ascii="Times New Roman" w:hAnsi="Times New Roman" w:cs="Times New Roman"/>
          <w:szCs w:val="24"/>
        </w:rPr>
        <w:t>ies</w:t>
      </w:r>
      <w:r>
        <w:rPr>
          <w:rFonts w:ascii="Times New Roman" w:hAnsi="Times New Roman" w:cs="Times New Roman"/>
          <w:szCs w:val="24"/>
        </w:rPr>
        <w:t xml:space="preserve"> of agricultural system.</w:t>
      </w:r>
      <w:r>
        <w:rPr>
          <w:rFonts w:hint="eastAsia" w:ascii="Times New Roman" w:hAnsi="Times New Roman" w:cs="Times New Roman"/>
          <w:szCs w:val="24"/>
        </w:rPr>
        <w:t xml:space="preserve"> </w:t>
      </w:r>
      <w:r>
        <w:rPr>
          <w:rFonts w:ascii="Times New Roman" w:hAnsi="Times New Roman" w:cs="Times New Roman"/>
          <w:szCs w:val="24"/>
        </w:rPr>
        <w:t>Based on the above</w:t>
      </w:r>
      <w:r>
        <w:rPr>
          <w:rFonts w:hint="eastAsia" w:ascii="Times New Roman" w:hAnsi="Times New Roman" w:cs="Times New Roman"/>
          <w:szCs w:val="24"/>
        </w:rPr>
        <w:t xml:space="preserve"> reasoning</w:t>
      </w:r>
      <w:r>
        <w:rPr>
          <w:rFonts w:ascii="Times New Roman" w:hAnsi="Times New Roman" w:cs="Times New Roman"/>
          <w:szCs w:val="24"/>
        </w:rPr>
        <w:t>, the following hypotheses are proposed:</w:t>
      </w:r>
    </w:p>
    <w:p w14:paraId="29717B16">
      <w:pPr>
        <w:spacing w:line="480" w:lineRule="auto"/>
        <w:rPr>
          <w:rFonts w:ascii="Times New Roman" w:hAnsi="Times New Roman" w:cs="Times New Roman"/>
          <w:b/>
          <w:bCs/>
          <w:szCs w:val="24"/>
        </w:rPr>
      </w:pPr>
      <w:r>
        <w:rPr>
          <w:rFonts w:ascii="Times New Roman" w:hAnsi="Times New Roman" w:cs="Times New Roman"/>
          <w:b/>
          <w:bCs/>
          <w:szCs w:val="24"/>
        </w:rPr>
        <w:t>Hypothesis</w:t>
      </w:r>
      <w:r>
        <w:rPr>
          <w:rFonts w:hint="eastAsia" w:ascii="Times New Roman" w:hAnsi="Times New Roman" w:cs="Times New Roman"/>
          <w:b/>
          <w:bCs/>
          <w:szCs w:val="24"/>
        </w:rPr>
        <w:t xml:space="preserve">2a: </w:t>
      </w:r>
      <w:r>
        <w:rPr>
          <w:rFonts w:ascii="Times New Roman" w:hAnsi="Times New Roman" w:cs="Times New Roman"/>
          <w:szCs w:val="24"/>
        </w:rPr>
        <w:t>N</w:t>
      </w:r>
      <w:r>
        <w:rPr>
          <w:rFonts w:hint="eastAsia" w:ascii="Times New Roman" w:hAnsi="Times New Roman" w:cs="Times New Roman"/>
          <w:szCs w:val="24"/>
        </w:rPr>
        <w:t>TU</w:t>
      </w:r>
      <w:r>
        <w:rPr>
          <w:rFonts w:ascii="Times New Roman" w:hAnsi="Times New Roman" w:cs="Times New Roman"/>
          <w:szCs w:val="24"/>
        </w:rPr>
        <w:t xml:space="preserve"> enhances </w:t>
      </w:r>
      <w:r>
        <w:rPr>
          <w:rFonts w:hint="eastAsia" w:ascii="Times New Roman" w:hAnsi="Times New Roman" w:cs="Times New Roman"/>
          <w:szCs w:val="24"/>
        </w:rPr>
        <w:t>AER</w:t>
      </w:r>
      <w:r>
        <w:rPr>
          <w:rFonts w:ascii="Times New Roman" w:hAnsi="Times New Roman" w:cs="Times New Roman"/>
          <w:szCs w:val="24"/>
        </w:rPr>
        <w:t xml:space="preserve"> through </w:t>
      </w:r>
      <w:r>
        <w:rPr>
          <w:rFonts w:hint="eastAsia" w:ascii="Times New Roman" w:hAnsi="Times New Roman" w:cs="Times New Roman"/>
          <w:szCs w:val="24"/>
          <w:lang w:val="en-US" w:eastAsia="zh-CN"/>
        </w:rPr>
        <w:t>GTI</w:t>
      </w:r>
      <w:r>
        <w:rPr>
          <w:rFonts w:ascii="Times New Roman" w:hAnsi="Times New Roman" w:cs="Times New Roman"/>
          <w:szCs w:val="24"/>
        </w:rPr>
        <w:t>.</w:t>
      </w:r>
    </w:p>
    <w:p w14:paraId="699C61A3">
      <w:pPr>
        <w:spacing w:line="480" w:lineRule="auto"/>
        <w:rPr>
          <w:rFonts w:ascii="Times New Roman" w:hAnsi="Times New Roman" w:cs="Times New Roman"/>
          <w:szCs w:val="24"/>
        </w:rPr>
      </w:pPr>
      <w:r>
        <w:rPr>
          <w:rFonts w:ascii="Times New Roman" w:hAnsi="Times New Roman" w:cs="Times New Roman"/>
          <w:b/>
          <w:bCs/>
          <w:szCs w:val="24"/>
        </w:rPr>
        <w:t>Hypothesis</w:t>
      </w:r>
      <w:r>
        <w:rPr>
          <w:rFonts w:hint="eastAsia" w:ascii="Times New Roman" w:hAnsi="Times New Roman" w:cs="Times New Roman"/>
          <w:b/>
          <w:bCs/>
          <w:szCs w:val="24"/>
        </w:rPr>
        <w:t xml:space="preserve">2b: </w:t>
      </w:r>
      <w:r>
        <w:rPr>
          <w:rFonts w:hint="eastAsia" w:ascii="Times New Roman" w:hAnsi="Times New Roman" w:cs="Times New Roman"/>
          <w:szCs w:val="24"/>
        </w:rPr>
        <w:t>NTU</w:t>
      </w:r>
      <w:r>
        <w:rPr>
          <w:rFonts w:ascii="Times New Roman" w:hAnsi="Times New Roman" w:cs="Times New Roman"/>
          <w:szCs w:val="24"/>
        </w:rPr>
        <w:t xml:space="preserve"> enhances </w:t>
      </w:r>
      <w:r>
        <w:rPr>
          <w:rFonts w:hint="eastAsia" w:ascii="Times New Roman" w:hAnsi="Times New Roman" w:cs="Times New Roman"/>
          <w:szCs w:val="24"/>
        </w:rPr>
        <w:t>AER</w:t>
      </w:r>
      <w:r>
        <w:rPr>
          <w:rFonts w:ascii="Times New Roman" w:hAnsi="Times New Roman" w:cs="Times New Roman"/>
          <w:szCs w:val="24"/>
        </w:rPr>
        <w:t xml:space="preserve"> through </w:t>
      </w:r>
      <w:r>
        <w:rPr>
          <w:rFonts w:hint="eastAsia" w:ascii="Times New Roman" w:hAnsi="Times New Roman" w:cs="Times New Roman"/>
          <w:szCs w:val="24"/>
          <w:lang w:val="en-US" w:eastAsia="zh-CN"/>
        </w:rPr>
        <w:t>AEA</w:t>
      </w:r>
      <w:r>
        <w:rPr>
          <w:rFonts w:ascii="Times New Roman" w:hAnsi="Times New Roman" w:cs="Times New Roman"/>
          <w:szCs w:val="24"/>
        </w:rPr>
        <w:t>.</w:t>
      </w:r>
      <w:bookmarkEnd w:id="8"/>
    </w:p>
    <w:p w14:paraId="2F5AACAB">
      <w:pPr>
        <w:spacing w:after="120" w:afterLines="50" w:line="480" w:lineRule="auto"/>
        <w:rPr>
          <w:rFonts w:hint="eastAsia" w:ascii="Times New Roman" w:hAnsi="Times New Roman" w:cs="Times New Roman"/>
          <w:b/>
          <w:bCs/>
          <w:szCs w:val="24"/>
        </w:rPr>
      </w:pPr>
      <w:bookmarkStart w:id="9" w:name="OLE_LINK12"/>
      <w:r>
        <w:rPr>
          <w:rFonts w:hint="eastAsia" w:ascii="Times New Roman" w:hAnsi="Times New Roman" w:cs="Times New Roman"/>
          <w:b/>
          <w:bCs/>
          <w:szCs w:val="24"/>
        </w:rPr>
        <w:t>2.3. Moderating Effects of GFI and APR</w:t>
      </w:r>
    </w:p>
    <w:p w14:paraId="1EA28ED2">
      <w:pPr>
        <w:spacing w:line="480" w:lineRule="auto"/>
        <w:ind w:firstLine="480"/>
        <w:rPr>
          <w:rFonts w:ascii="Times New Roman" w:hAnsi="Times New Roman" w:cs="Times New Roman"/>
          <w:szCs w:val="24"/>
        </w:rPr>
      </w:pPr>
      <w:r>
        <w:rPr>
          <w:rFonts w:ascii="Times New Roman" w:hAnsi="Times New Roman" w:cs="Times New Roman"/>
          <w:szCs w:val="24"/>
        </w:rPr>
        <w:t>GFI and APR</w:t>
      </w:r>
      <w:r>
        <w:rPr>
          <w:rFonts w:hint="eastAsia" w:ascii="Times New Roman" w:hAnsi="Times New Roman" w:cs="Times New Roman"/>
          <w:szCs w:val="24"/>
        </w:rPr>
        <w:t xml:space="preserve"> serve </w:t>
      </w:r>
      <w:r>
        <w:rPr>
          <w:rFonts w:ascii="Times New Roman" w:hAnsi="Times New Roman" w:cs="Times New Roman"/>
          <w:szCs w:val="24"/>
        </w:rPr>
        <w:t xml:space="preserve">as </w:t>
      </w:r>
      <w:r>
        <w:rPr>
          <w:rFonts w:hint="eastAsia" w:ascii="Times New Roman" w:hAnsi="Times New Roman" w:cs="Times New Roman"/>
          <w:szCs w:val="24"/>
        </w:rPr>
        <w:t xml:space="preserve">crucial </w:t>
      </w:r>
      <w:r>
        <w:rPr>
          <w:rFonts w:ascii="Times New Roman" w:hAnsi="Times New Roman" w:cs="Times New Roman"/>
          <w:szCs w:val="24"/>
        </w:rPr>
        <w:t xml:space="preserve">financial and institutional safeguards, </w:t>
      </w:r>
      <w:r>
        <w:rPr>
          <w:rFonts w:hint="default" w:ascii="Times New Roman" w:hAnsi="Times New Roman" w:cs="Times New Roman"/>
          <w:szCs w:val="24"/>
        </w:rPr>
        <w:t>potentially</w:t>
      </w:r>
      <w:r>
        <w:rPr>
          <w:rFonts w:ascii="Times New Roman" w:hAnsi="Times New Roman" w:cs="Times New Roman"/>
          <w:szCs w:val="24"/>
        </w:rPr>
        <w:t xml:space="preserve"> exert</w:t>
      </w:r>
      <w:r>
        <w:rPr>
          <w:rFonts w:hint="eastAsia" w:ascii="Times New Roman" w:hAnsi="Times New Roman" w:cs="Times New Roman"/>
          <w:szCs w:val="24"/>
          <w:lang w:val="en-US" w:eastAsia="zh-CN"/>
        </w:rPr>
        <w:t>ing</w:t>
      </w:r>
      <w:r>
        <w:rPr>
          <w:rFonts w:ascii="Times New Roman" w:hAnsi="Times New Roman" w:cs="Times New Roman"/>
          <w:szCs w:val="24"/>
        </w:rPr>
        <w:t xml:space="preserve"> significant moderating effects </w:t>
      </w:r>
      <w:r>
        <w:rPr>
          <w:rFonts w:hint="eastAsia" w:ascii="Times New Roman" w:hAnsi="Times New Roman" w:cs="Times New Roman"/>
          <w:szCs w:val="24"/>
          <w:lang w:val="en-US" w:eastAsia="zh-CN"/>
        </w:rPr>
        <w:t>on</w:t>
      </w:r>
      <w:r>
        <w:rPr>
          <w:rFonts w:ascii="Times New Roman" w:hAnsi="Times New Roman" w:cs="Times New Roman"/>
          <w:szCs w:val="24"/>
        </w:rPr>
        <w:t xml:space="preserve"> the process through which NTU enhances AER.</w:t>
      </w:r>
      <w:r>
        <w:rPr>
          <w:rFonts w:hint="eastAsia" w:ascii="Times New Roman" w:hAnsi="Times New Roman" w:cs="Times New Roman"/>
          <w:szCs w:val="24"/>
        </w:rPr>
        <w:t xml:space="preserve"> </w:t>
      </w:r>
      <w:r>
        <w:rPr>
          <w:rFonts w:ascii="Times New Roman" w:hAnsi="Times New Roman" w:cs="Times New Roman"/>
          <w:szCs w:val="24"/>
        </w:rPr>
        <w:t>GFI facilitates the allocation of resources to environmentally sustainable agricultural projects, providing financial support and technological empowerment for green practices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&lt;EndNote&gt;&lt;Cite&gt;&lt;Author&gt;Zhong&lt;/Author&gt;&lt;Year&gt;2024&lt;/Year&gt;&lt;RecNum&gt;64&lt;/RecNum&gt;&lt;DisplayText&gt; (Zhong et al., 2024)&lt;/DisplayText&gt;&lt;record&gt;&lt;rec-number&gt;64&lt;/rec-number&gt;&lt;foreign-keys&gt;&lt;key app="EN" db-id="dv0v2adwc2etf1ep9tapzzz5vffpepr5wxwa" timestamp="1765102179"&gt;64&lt;/key&gt;&lt;/foreign-keys&gt;&lt;ref-type name="Journal Article"&gt;17&lt;/ref-type&gt;&lt;contributors&gt;&lt;authors&gt;&lt;author&gt;Zhong, Xin&lt;/author&gt;&lt;author&gt;Wang, Jian&lt;/author&gt;&lt;author&gt;Xiao, Xinqing&lt;/author&gt;&lt;/authors&gt;&lt;/contributors&gt;&lt;titles&gt;&lt;title&gt;Empowering Agricultural Economic Resilience in China: Does Green Finance Matter?&lt;/title&gt;&lt;secondary-title&gt;Advances in Agriculture&lt;/secondary-title&gt;&lt;/titles&gt;&lt;periodical&gt;&lt;full-title&gt;Advances in Agriculture&lt;/full-title&gt;&lt;/periodical&gt;&lt;volume&gt;2024&lt;/volume&gt;&lt;number&gt;1&lt;/number&gt;&lt;dates&gt;&lt;year&gt;2024&lt;/year&gt;&lt;/dates&gt;&lt;isbn&gt;2356-654X&amp;#xD;2314-7539&lt;/isbn&gt;&lt;urls&gt;&lt;/urls&gt;&lt;electronic-resource-num&gt;10.1155/aia/1350399&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"_ENREF_58" \o "Zhong, 2024 #64" </w:instrText>
      </w:r>
      <w:r>
        <w:fldChar w:fldCharType="separate"/>
      </w:r>
      <w:r>
        <w:rPr>
          <w:rStyle w:val="23"/>
          <w:rFonts w:hint="eastAsia"/>
        </w:rPr>
        <w:t>Zhong et al., 2024</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By alleviating financing constraints associated with agricultural green transformation, GFI strengthens the system’s environmental adaptability and</w:t>
      </w:r>
      <w:r>
        <w:rPr>
          <w:rFonts w:hint="eastAsia" w:ascii="Times New Roman" w:hAnsi="Times New Roman" w:cs="Times New Roman"/>
          <w:szCs w:val="24"/>
        </w:rPr>
        <w:t xml:space="preserve"> boosts its </w:t>
      </w:r>
      <w:r>
        <w:rPr>
          <w:rFonts w:ascii="Times New Roman" w:hAnsi="Times New Roman" w:cs="Times New Roman"/>
          <w:szCs w:val="24"/>
        </w:rPr>
        <w:t>technological innovation</w:t>
      </w:r>
      <w:r>
        <w:rPr>
          <w:rFonts w:hint="eastAsia" w:ascii="Times New Roman" w:hAnsi="Times New Roman" w:cs="Times New Roman"/>
          <w:szCs w:val="24"/>
        </w:rPr>
        <w:t xml:space="preserve"> </w:t>
      </w:r>
      <w:r>
        <w:rPr>
          <w:rFonts w:ascii="Times New Roman" w:hAnsi="Times New Roman" w:cs="Times New Roman"/>
          <w:szCs w:val="24"/>
        </w:rPr>
        <w:t xml:space="preserve">capacity, thereby </w:t>
      </w:r>
      <w:r>
        <w:rPr>
          <w:rFonts w:hint="eastAsia" w:ascii="Times New Roman" w:hAnsi="Times New Roman" w:cs="Times New Roman"/>
          <w:szCs w:val="24"/>
        </w:rPr>
        <w:t>reinforc</w:t>
      </w:r>
      <w:r>
        <w:rPr>
          <w:rFonts w:ascii="Times New Roman" w:hAnsi="Times New Roman" w:cs="Times New Roman"/>
          <w:szCs w:val="24"/>
        </w:rPr>
        <w:t>ing AER.</w:t>
      </w:r>
      <w:r>
        <w:rPr>
          <w:rFonts w:hint="eastAsia" w:ascii="Times New Roman" w:hAnsi="Times New Roman" w:cs="Times New Roman"/>
          <w:szCs w:val="24"/>
        </w:rPr>
        <w:t xml:space="preserve"> </w:t>
      </w:r>
      <w:r>
        <w:rPr>
          <w:rFonts w:ascii="Times New Roman" w:hAnsi="Times New Roman" w:cs="Times New Roman"/>
          <w:szCs w:val="24"/>
        </w:rPr>
        <w:t xml:space="preserve">Similarly, APR serves as a critical </w:t>
      </w:r>
      <w:r>
        <w:rPr>
          <w:rFonts w:hint="eastAsia" w:ascii="Times New Roman" w:hAnsi="Times New Roman" w:cs="Times New Roman"/>
          <w:szCs w:val="24"/>
        </w:rPr>
        <w:t xml:space="preserve">risk mitigation </w:t>
      </w:r>
      <w:r>
        <w:rPr>
          <w:rFonts w:ascii="Times New Roman" w:hAnsi="Times New Roman" w:cs="Times New Roman"/>
          <w:szCs w:val="24"/>
        </w:rPr>
        <w:t>mechanism for managing agricultural uncertainty</w:t>
      </w:r>
      <w:r>
        <w:rPr>
          <w:rFonts w:hint="eastAsia" w:ascii="Times New Roman" w:hAnsi="Times New Roman" w:cs="Times New Roman"/>
          <w:szCs w:val="24"/>
        </w:rPr>
        <w:t xml:space="preserve">, </w:t>
      </w:r>
      <w:r>
        <w:rPr>
          <w:rFonts w:ascii="Times New Roman" w:hAnsi="Times New Roman" w:cs="Times New Roman"/>
          <w:szCs w:val="24"/>
        </w:rPr>
        <w:t>with the payout ratio functioning as an important indicator of its practical effectiveness.Under the expansion of financial service coverage promoted by NTU, improvements in agricultural insurance coverage and payout</w:t>
      </w:r>
      <w:r>
        <w:rPr>
          <w:rFonts w:hint="eastAsia" w:ascii="Times New Roman" w:hAnsi="Times New Roman" w:cs="Times New Roman"/>
          <w:szCs w:val="24"/>
        </w:rPr>
        <w:t xml:space="preserve"> efficiency</w:t>
      </w:r>
      <w:r>
        <w:rPr>
          <w:rFonts w:ascii="Times New Roman" w:hAnsi="Times New Roman" w:cs="Times New Roman"/>
          <w:szCs w:val="24"/>
        </w:rPr>
        <w:t xml:space="preserve"> ensure that farmers receive timely and adequate compensation in the event of risks. This reinforces their ability to withstand shocks and recover from disruptions</w:t>
      </w:r>
      <w:r>
        <w:rPr>
          <w:rFonts w:hint="eastAsia" w:ascii="Times New Roman" w:hAnsi="Times New Roman" w:cs="Times New Roman"/>
          <w:szCs w:val="24"/>
        </w:rPr>
        <w:t xml:space="preserve">, </w:t>
      </w:r>
      <w:r>
        <w:rPr>
          <w:rFonts w:ascii="Times New Roman" w:hAnsi="Times New Roman" w:cs="Times New Roman"/>
          <w:szCs w:val="24"/>
        </w:rPr>
        <w:t>further stabilizing agricultural economic performance.</w:t>
      </w:r>
      <w:r>
        <w:rPr>
          <w:rFonts w:hint="eastAsia" w:ascii="Times New Roman" w:hAnsi="Times New Roman" w:cs="Times New Roman"/>
          <w:szCs w:val="24"/>
        </w:rPr>
        <w:t xml:space="preserve"> </w:t>
      </w:r>
      <w:r>
        <w:rPr>
          <w:rFonts w:ascii="Times New Roman" w:hAnsi="Times New Roman" w:cs="Times New Roman"/>
          <w:szCs w:val="24"/>
        </w:rPr>
        <w:t>Based on the above</w:t>
      </w:r>
      <w:r>
        <w:rPr>
          <w:rFonts w:hint="eastAsia" w:ascii="Times New Roman" w:hAnsi="Times New Roman" w:cs="Times New Roman"/>
          <w:szCs w:val="24"/>
        </w:rPr>
        <w:t xml:space="preserve"> analysis</w:t>
      </w:r>
      <w:r>
        <w:rPr>
          <w:rFonts w:ascii="Times New Roman" w:hAnsi="Times New Roman" w:cs="Times New Roman"/>
          <w:szCs w:val="24"/>
        </w:rPr>
        <w:t>, the following hypotheses are proposed:</w:t>
      </w:r>
    </w:p>
    <w:p w14:paraId="5D4DD70B">
      <w:pPr>
        <w:spacing w:line="480" w:lineRule="auto"/>
        <w:rPr>
          <w:rFonts w:ascii="Times New Roman" w:hAnsi="Times New Roman" w:cs="Times New Roman"/>
          <w:szCs w:val="24"/>
        </w:rPr>
      </w:pPr>
      <w:r>
        <w:rPr>
          <w:rFonts w:ascii="Times New Roman" w:hAnsi="Times New Roman" w:cs="Times New Roman"/>
          <w:b/>
          <w:bCs/>
          <w:szCs w:val="24"/>
        </w:rPr>
        <w:t>Hypothesis</w:t>
      </w:r>
      <w:r>
        <w:rPr>
          <w:rFonts w:hint="eastAsia" w:ascii="Times New Roman" w:hAnsi="Times New Roman" w:cs="Times New Roman"/>
          <w:b/>
          <w:bCs/>
          <w:szCs w:val="24"/>
        </w:rPr>
        <w:t>3a:</w:t>
      </w:r>
      <w:r>
        <w:rPr>
          <w:rFonts w:hint="eastAsia" w:ascii="Times New Roman" w:hAnsi="Times New Roman" w:cs="Times New Roman"/>
          <w:szCs w:val="24"/>
        </w:rPr>
        <w:t xml:space="preserve"> GFI</w:t>
      </w:r>
      <w:r>
        <w:rPr>
          <w:rFonts w:ascii="Times New Roman" w:hAnsi="Times New Roman" w:cs="Times New Roman"/>
          <w:szCs w:val="24"/>
        </w:rPr>
        <w:t xml:space="preserve"> positively moderates the impact of N</w:t>
      </w:r>
      <w:r>
        <w:rPr>
          <w:rFonts w:hint="eastAsia" w:ascii="Times New Roman" w:hAnsi="Times New Roman" w:cs="Times New Roman"/>
          <w:szCs w:val="24"/>
        </w:rPr>
        <w:t>TU</w:t>
      </w:r>
      <w:r>
        <w:rPr>
          <w:rFonts w:ascii="Times New Roman" w:hAnsi="Times New Roman" w:cs="Times New Roman"/>
          <w:szCs w:val="24"/>
        </w:rPr>
        <w:t xml:space="preserve"> on </w:t>
      </w:r>
      <w:r>
        <w:rPr>
          <w:rFonts w:hint="eastAsia" w:ascii="Times New Roman" w:hAnsi="Times New Roman" w:cs="Times New Roman"/>
          <w:szCs w:val="24"/>
        </w:rPr>
        <w:t>AER</w:t>
      </w:r>
      <w:r>
        <w:rPr>
          <w:rFonts w:ascii="Times New Roman" w:hAnsi="Times New Roman" w:cs="Times New Roman"/>
          <w:szCs w:val="24"/>
        </w:rPr>
        <w:t>.</w:t>
      </w:r>
    </w:p>
    <w:p w14:paraId="3B48DCB7">
      <w:pPr>
        <w:spacing w:line="480" w:lineRule="auto"/>
        <w:rPr>
          <w:rFonts w:ascii="Times New Roman" w:hAnsi="Times New Roman" w:cs="Times New Roman"/>
          <w:szCs w:val="24"/>
        </w:rPr>
      </w:pPr>
      <w:r>
        <w:rPr>
          <w:rFonts w:ascii="Times New Roman" w:hAnsi="Times New Roman" w:cs="Times New Roman"/>
          <w:b/>
          <w:bCs/>
          <w:szCs w:val="24"/>
        </w:rPr>
        <w:t>Hypothesis</w:t>
      </w:r>
      <w:r>
        <w:rPr>
          <w:rFonts w:hint="eastAsia" w:ascii="Times New Roman" w:hAnsi="Times New Roman" w:cs="Times New Roman"/>
          <w:b/>
          <w:bCs/>
          <w:szCs w:val="24"/>
        </w:rPr>
        <w:t>3b:</w:t>
      </w:r>
      <w:r>
        <w:rPr>
          <w:rFonts w:hint="eastAsia" w:ascii="Times New Roman" w:hAnsi="Times New Roman" w:cs="Times New Roman"/>
          <w:szCs w:val="24"/>
        </w:rPr>
        <w:t xml:space="preserve"> ARR</w:t>
      </w:r>
      <w:r>
        <w:rPr>
          <w:rFonts w:ascii="Times New Roman" w:hAnsi="Times New Roman" w:cs="Times New Roman"/>
          <w:szCs w:val="24"/>
        </w:rPr>
        <w:t xml:space="preserve"> positively moderate the impact of N</w:t>
      </w:r>
      <w:r>
        <w:rPr>
          <w:rFonts w:hint="eastAsia" w:ascii="Times New Roman" w:hAnsi="Times New Roman" w:cs="Times New Roman"/>
          <w:szCs w:val="24"/>
        </w:rPr>
        <w:t>TU</w:t>
      </w:r>
      <w:r>
        <w:rPr>
          <w:rFonts w:ascii="Times New Roman" w:hAnsi="Times New Roman" w:cs="Times New Roman"/>
          <w:szCs w:val="24"/>
        </w:rPr>
        <w:t xml:space="preserve"> on </w:t>
      </w:r>
      <w:r>
        <w:rPr>
          <w:rFonts w:hint="eastAsia" w:ascii="Times New Roman" w:hAnsi="Times New Roman" w:cs="Times New Roman"/>
          <w:szCs w:val="24"/>
        </w:rPr>
        <w:t>AER</w:t>
      </w:r>
      <w:r>
        <w:rPr>
          <w:rFonts w:ascii="Times New Roman" w:hAnsi="Times New Roman" w:cs="Times New Roman"/>
          <w:szCs w:val="24"/>
        </w:rPr>
        <w:t>.</w:t>
      </w:r>
      <w:bookmarkEnd w:id="9"/>
    </w:p>
    <w:p w14:paraId="75481E03">
      <w:pPr>
        <w:spacing w:after="120" w:afterLines="50" w:line="480" w:lineRule="auto"/>
        <w:rPr>
          <w:rFonts w:ascii="Times New Roman" w:hAnsi="Times New Roman" w:cs="Times New Roman"/>
          <w:b/>
          <w:bCs/>
          <w:szCs w:val="24"/>
        </w:rPr>
      </w:pPr>
      <w:bookmarkStart w:id="10" w:name="OLE_LINK13"/>
      <w:r>
        <w:rPr>
          <w:rFonts w:hint="eastAsia" w:ascii="Times New Roman" w:hAnsi="Times New Roman" w:cs="Times New Roman"/>
          <w:b/>
          <w:bCs/>
          <w:szCs w:val="24"/>
        </w:rPr>
        <w:t xml:space="preserve">3. </w:t>
      </w:r>
      <w:r>
        <w:rPr>
          <w:rFonts w:ascii="Times New Roman" w:hAnsi="Times New Roman" w:cs="Times New Roman"/>
          <w:b/>
          <w:bCs/>
          <w:szCs w:val="24"/>
        </w:rPr>
        <w:t>Research Design</w:t>
      </w:r>
    </w:p>
    <w:p w14:paraId="6AB44882">
      <w:pPr>
        <w:spacing w:after="120" w:afterLines="50" w:line="480" w:lineRule="auto"/>
        <w:rPr>
          <w:rFonts w:hint="eastAsia" w:ascii="Times New Roman" w:hAnsi="Times New Roman" w:cs="Times New Roman"/>
          <w:b/>
          <w:bCs/>
          <w:szCs w:val="24"/>
        </w:rPr>
      </w:pPr>
      <w:r>
        <w:rPr>
          <w:rFonts w:hint="eastAsia" w:ascii="Times New Roman" w:hAnsi="Times New Roman" w:cs="Times New Roman"/>
          <w:b/>
          <w:bCs/>
          <w:szCs w:val="24"/>
        </w:rPr>
        <w:t>3.1. Variable Selection</w:t>
      </w:r>
    </w:p>
    <w:p w14:paraId="214E80F7">
      <w:pPr>
        <w:spacing w:after="120" w:afterLines="50" w:line="480" w:lineRule="auto"/>
        <w:rPr>
          <w:rFonts w:hint="eastAsia" w:ascii="Times New Roman" w:hAnsi="Times New Roman" w:cs="Times New Roman"/>
          <w:b/>
          <w:bCs/>
          <w:szCs w:val="24"/>
        </w:rPr>
      </w:pPr>
      <w:r>
        <w:rPr>
          <w:rFonts w:hint="eastAsia" w:ascii="Times New Roman" w:hAnsi="Times New Roman" w:cs="Times New Roman"/>
          <w:b/>
          <w:bCs/>
          <w:szCs w:val="24"/>
        </w:rPr>
        <w:t>3.1.1. Dependent Variable</w:t>
      </w:r>
    </w:p>
    <w:bookmarkEnd w:id="10"/>
    <w:p w14:paraId="5BB6401F">
      <w:pPr>
        <w:pStyle w:val="11"/>
        <w:spacing w:line="480" w:lineRule="auto"/>
        <w:ind w:firstLine="420" w:firstLineChars="200"/>
        <w:rPr>
          <w:rFonts w:ascii="Times New Roman" w:hAnsi="Times New Roman" w:cs="Times New Roman" w:eastAsiaTheme="minorEastAsia"/>
          <w:sz w:val="21"/>
          <w:szCs w:val="24"/>
        </w:rPr>
      </w:pPr>
      <w:r>
        <w:rPr>
          <w:rFonts w:ascii="Times New Roman" w:hAnsi="Times New Roman" w:cs="Times New Roman" w:eastAsiaTheme="minorEastAsia"/>
          <w:sz w:val="21"/>
          <w:szCs w:val="24"/>
        </w:rPr>
        <w:t>The dependent variable in this study is a</w:t>
      </w:r>
      <w:r>
        <w:rPr>
          <w:rFonts w:hint="eastAsia" w:ascii="Times New Roman" w:hAnsi="Times New Roman" w:cs="Times New Roman" w:eastAsiaTheme="minorEastAsia"/>
          <w:sz w:val="21"/>
          <w:szCs w:val="24"/>
          <w:lang w:val="en-US" w:eastAsia="zh-CN"/>
        </w:rPr>
        <w:t xml:space="preserve"> </w:t>
      </w:r>
      <w:r>
        <w:rPr>
          <w:rFonts w:ascii="Times New Roman" w:hAnsi="Times New Roman" w:cs="Times New Roman" w:eastAsiaTheme="minorEastAsia"/>
          <w:sz w:val="21"/>
          <w:szCs w:val="24"/>
        </w:rPr>
        <w:t xml:space="preserve">AER, </w:t>
      </w:r>
      <w:r>
        <w:rPr>
          <w:rFonts w:hint="eastAsia" w:ascii="Times New Roman" w:hAnsi="Times New Roman" w:cs="Times New Roman" w:eastAsiaTheme="minorEastAsia"/>
          <w:sz w:val="21"/>
          <w:szCs w:val="24"/>
        </w:rPr>
        <w:t>which refers to</w:t>
      </w:r>
      <w:r>
        <w:rPr>
          <w:rFonts w:ascii="Times New Roman" w:hAnsi="Times New Roman" w:cs="Times New Roman" w:eastAsiaTheme="minorEastAsia"/>
          <w:sz w:val="21"/>
          <w:szCs w:val="24"/>
        </w:rPr>
        <w:t xml:space="preserve"> the capacity of agricultural systems to withstand </w:t>
      </w:r>
      <w:r>
        <w:rPr>
          <w:rFonts w:hint="eastAsia" w:ascii="Times New Roman" w:hAnsi="Times New Roman" w:cs="Times New Roman" w:eastAsiaTheme="minorEastAsia"/>
          <w:sz w:val="21"/>
          <w:szCs w:val="24"/>
        </w:rPr>
        <w:t>external shocks</w:t>
      </w:r>
      <w:r>
        <w:rPr>
          <w:rFonts w:ascii="Times New Roman" w:hAnsi="Times New Roman" w:cs="Times New Roman" w:eastAsiaTheme="minorEastAsia"/>
          <w:sz w:val="21"/>
          <w:szCs w:val="24"/>
        </w:rPr>
        <w:t xml:space="preserve">, adapt to internal and external pressures, and achieve sustainable development. In recent years, AER has been increasingly recognized as a critical indicator for assessing agricultural sustainability and regional economic stability. In the present study, AER is conceptualized </w:t>
      </w:r>
      <w:r>
        <w:rPr>
          <w:rFonts w:hint="eastAsia" w:ascii="Times New Roman" w:hAnsi="Times New Roman" w:cs="Times New Roman" w:eastAsiaTheme="minorEastAsia"/>
          <w:sz w:val="21"/>
          <w:szCs w:val="24"/>
        </w:rPr>
        <w:t>through</w:t>
      </w:r>
      <w:r>
        <w:rPr>
          <w:rFonts w:ascii="Times New Roman" w:hAnsi="Times New Roman" w:cs="Times New Roman" w:eastAsiaTheme="minorEastAsia"/>
          <w:sz w:val="21"/>
          <w:szCs w:val="24"/>
        </w:rPr>
        <w:t xml:space="preserve"> three </w:t>
      </w:r>
      <w:r>
        <w:rPr>
          <w:rFonts w:hint="eastAsia" w:ascii="Times New Roman" w:hAnsi="Times New Roman" w:cs="Times New Roman" w:eastAsiaTheme="minorEastAsia"/>
          <w:sz w:val="21"/>
          <w:szCs w:val="24"/>
        </w:rPr>
        <w:t xml:space="preserve">distinct </w:t>
      </w:r>
      <w:r>
        <w:rPr>
          <w:rFonts w:ascii="Times New Roman" w:hAnsi="Times New Roman" w:cs="Times New Roman" w:eastAsiaTheme="minorEastAsia"/>
          <w:sz w:val="21"/>
          <w:szCs w:val="24"/>
        </w:rPr>
        <w:t xml:space="preserve">dimensions: risk resistance, adaptive adjustment, and transformative innovation. A total of 20 relevant indicators were selected to construct a comprehensive evaluation framework </w:t>
      </w:r>
      <w:r>
        <w:rPr>
          <w:rFonts w:hint="eastAsia" w:ascii="Times New Roman" w:hAnsi="Times New Roman" w:cs="Times New Roman" w:eastAsiaTheme="minorEastAsia"/>
          <w:sz w:val="21"/>
          <w:szCs w:val="24"/>
        </w:rPr>
        <w:t>(</w:t>
      </w:r>
      <w:r>
        <w:rPr>
          <w:rFonts w:ascii="Times New Roman" w:hAnsi="Times New Roman" w:cs="Times New Roman" w:eastAsiaTheme="minorEastAsia"/>
          <w:color w:val="0070C0"/>
          <w:sz w:val="21"/>
          <w:szCs w:val="24"/>
        </w:rPr>
        <w:fldChar w:fldCharType="begin"/>
      </w:r>
      <w:r>
        <w:rPr>
          <w:rFonts w:ascii="Times New Roman" w:hAnsi="Times New Roman" w:cs="Times New Roman" w:eastAsiaTheme="minorEastAsia"/>
          <w:color w:val="0070C0"/>
          <w:sz w:val="21"/>
          <w:szCs w:val="24"/>
        </w:rPr>
        <w:instrText xml:space="preserve"> </w:instrText>
      </w:r>
      <w:r>
        <w:rPr>
          <w:rFonts w:hint="eastAsia" w:ascii="Times New Roman" w:hAnsi="Times New Roman" w:cs="Times New Roman" w:eastAsiaTheme="minorEastAsia"/>
          <w:color w:val="0070C0"/>
          <w:sz w:val="21"/>
          <w:szCs w:val="24"/>
        </w:rPr>
        <w:instrText xml:space="preserve">REF _Ref216097386 \h</w:instrText>
      </w:r>
      <w:r>
        <w:rPr>
          <w:rFonts w:ascii="Times New Roman" w:hAnsi="Times New Roman" w:cs="Times New Roman" w:eastAsiaTheme="minorEastAsia"/>
          <w:color w:val="0070C0"/>
          <w:sz w:val="21"/>
          <w:szCs w:val="24"/>
        </w:rPr>
        <w:instrText xml:space="preserve">  \* MERGEFORMAT </w:instrText>
      </w:r>
      <w:r>
        <w:rPr>
          <w:rFonts w:ascii="Times New Roman" w:hAnsi="Times New Roman" w:cs="Times New Roman" w:eastAsiaTheme="minorEastAsia"/>
          <w:color w:val="0070C0"/>
          <w:sz w:val="21"/>
          <w:szCs w:val="24"/>
        </w:rPr>
        <w:fldChar w:fldCharType="separate"/>
      </w:r>
      <w:r>
        <w:rPr>
          <w:rFonts w:hint="eastAsia" w:ascii="Times New Roman" w:hAnsi="Times New Roman" w:cs="Times New Roman" w:eastAsiaTheme="minorEastAsia"/>
          <w:color w:val="0070C0"/>
          <w:sz w:val="21"/>
          <w:szCs w:val="24"/>
        </w:rPr>
        <w:t xml:space="preserve">Table </w:t>
      </w:r>
      <w:r>
        <w:rPr>
          <w:rFonts w:ascii="Times New Roman" w:hAnsi="Times New Roman" w:cs="Times New Roman" w:eastAsiaTheme="minorEastAsia"/>
          <w:color w:val="0070C0"/>
          <w:sz w:val="21"/>
          <w:szCs w:val="24"/>
        </w:rPr>
        <w:t>1</w:t>
      </w:r>
      <w:r>
        <w:rPr>
          <w:rFonts w:ascii="Times New Roman" w:hAnsi="Times New Roman" w:cs="Times New Roman" w:eastAsiaTheme="minorEastAsia"/>
          <w:color w:val="0070C0"/>
          <w:sz w:val="21"/>
          <w:szCs w:val="24"/>
        </w:rPr>
        <w:fldChar w:fldCharType="end"/>
      </w:r>
      <w:r>
        <w:rPr>
          <w:rFonts w:hint="eastAsia" w:ascii="Times New Roman" w:hAnsi="Times New Roman" w:cs="Times New Roman" w:eastAsiaTheme="minorEastAsia"/>
          <w:sz w:val="21"/>
          <w:szCs w:val="24"/>
        </w:rPr>
        <w:t>)</w:t>
      </w:r>
      <w:r>
        <w:rPr>
          <w:rFonts w:ascii="Times New Roman" w:hAnsi="Times New Roman" w:cs="Times New Roman" w:eastAsiaTheme="minorEastAsia"/>
          <w:sz w:val="21"/>
          <w:szCs w:val="24"/>
        </w:rPr>
        <w:t>. To ensure objective</w:t>
      </w:r>
      <w:r>
        <w:rPr>
          <w:rFonts w:hint="eastAsia" w:ascii="Times New Roman" w:hAnsi="Times New Roman" w:cs="Times New Roman" w:eastAsiaTheme="minorEastAsia"/>
          <w:sz w:val="21"/>
          <w:szCs w:val="24"/>
        </w:rPr>
        <w:t xml:space="preserve"> and </w:t>
      </w:r>
      <w:r>
        <w:rPr>
          <w:rFonts w:ascii="Times New Roman" w:hAnsi="Times New Roman" w:cs="Times New Roman" w:eastAsiaTheme="minorEastAsia"/>
          <w:sz w:val="21"/>
          <w:szCs w:val="24"/>
        </w:rPr>
        <w:t>scientific</w:t>
      </w:r>
      <w:r>
        <w:rPr>
          <w:rFonts w:hint="eastAsia" w:ascii="Times New Roman" w:hAnsi="Times New Roman" w:cs="Times New Roman" w:eastAsiaTheme="minorEastAsia"/>
          <w:sz w:val="21"/>
          <w:szCs w:val="24"/>
        </w:rPr>
        <w:t>ally-grounded</w:t>
      </w:r>
      <w:r>
        <w:rPr>
          <w:rFonts w:ascii="Times New Roman" w:hAnsi="Times New Roman" w:cs="Times New Roman" w:eastAsiaTheme="minorEastAsia"/>
          <w:sz w:val="21"/>
          <w:szCs w:val="24"/>
        </w:rPr>
        <w:t xml:space="preserve"> weighting, the entropy method</w:t>
      </w:r>
      <w:r>
        <w:rPr>
          <w:rFonts w:ascii="Times New Roman" w:hAnsi="Times New Roman" w:cs="Times New Roman" w:eastAsiaTheme="minorEastAsia"/>
          <w:sz w:val="21"/>
          <w:szCs w:val="24"/>
        </w:rPr>
        <w:fldChar w:fldCharType="begin"/>
      </w:r>
      <w:r>
        <w:rPr>
          <w:rFonts w:ascii="Times New Roman" w:hAnsi="Times New Roman" w:cs="Times New Roman" w:eastAsiaTheme="minorEastAsia"/>
          <w:sz w:val="21"/>
          <w:szCs w:val="24"/>
        </w:rPr>
        <w:instrText xml:space="preserve"> ADDIN EN.CITE &lt;EndNote&gt;&lt;Cite&gt;&lt;Author&gt;Chen&lt;/Author&gt;&lt;Year&gt;2025&lt;/Year&gt;&lt;RecNum&gt;50&lt;/RecNum&gt;&lt;DisplayText&gt; (Chen et al., 2025)&lt;/DisplayText&gt;&lt;record&gt;&lt;rec-number&gt;50&lt;/rec-number&gt;&lt;foreign-keys&gt;&lt;key app="EN" db-id="dv0v2adwc2etf1ep9tapzzz5vffpepr5wxwa" timestamp="1765094152"&gt;50&lt;/key&gt;&lt;/foreign-keys&gt;&lt;ref-type name="Journal Article"&gt;17&lt;/ref-type&gt;&lt;contributors&gt;&lt;authors&gt;&lt;author&gt;Chen, Rui&lt;/author&gt;&lt;author&gt;Wang, Yufeng&lt;/author&gt;&lt;author&gt;Wang, Qi&lt;/author&gt;&lt;author&gt;Zhang, Lingling&lt;/author&gt;&lt;author&gt;Xiong, Ruoxi&lt;/author&gt;&lt;/authors&gt;&lt;/contributors&gt;&lt;titles&gt;&lt;title&gt;Unleashing the digital dividend: Exploring how the digital economy promotes the construction of new urbanization in China’s 284 prefecture-level cities?&lt;/title&gt;&lt;secondary-title&gt;Economic Analysis and Policy&lt;/secondary-title&gt;&lt;/titles&gt;&lt;periodical&gt;&lt;full-title&gt;Economic Analysis and Policy&lt;/full-title&gt;&lt;/periodical&gt;&lt;pages&gt;818-834&lt;/pages&gt;&lt;volume&gt;85&lt;/volume&gt;&lt;dates&gt;&lt;year&gt;2025&lt;/year&gt;&lt;/dates&gt;&lt;isbn&gt;0313-5926&lt;/isbn&gt;&lt;urls&gt;&lt;/urls&gt;&lt;electronic-resource-num&gt;10.1016/j.eap.2024.12.028&lt;/electronic-resource-num&gt;&lt;/record&gt;&lt;/Cite&gt;&lt;/EndNote&gt;</w:instrText>
      </w:r>
      <w:r>
        <w:rPr>
          <w:rFonts w:ascii="Times New Roman" w:hAnsi="Times New Roman" w:cs="Times New Roman" w:eastAsiaTheme="minorEastAsia"/>
          <w:sz w:val="21"/>
          <w:szCs w:val="24"/>
        </w:rPr>
        <w:fldChar w:fldCharType="separate"/>
      </w:r>
      <w:r>
        <w:rPr>
          <w:rFonts w:hint="eastAsia" w:ascii="Times New Roman" w:hAnsi="Times New Roman" w:cs="Times New Roman" w:eastAsiaTheme="minorEastAsia"/>
          <w:sz w:val="21"/>
          <w:szCs w:val="24"/>
        </w:rPr>
        <w:t> </w:t>
      </w:r>
      <w:r>
        <w:rPr>
          <w:rFonts w:ascii="Times New Roman" w:hAnsi="Times New Roman" w:cs="Times New Roman" w:eastAsiaTheme="minorEastAsia"/>
          <w:sz w:val="21"/>
          <w:szCs w:val="24"/>
        </w:rPr>
        <w:t>(</w:t>
      </w:r>
      <w:r>
        <w:fldChar w:fldCharType="begin"/>
      </w:r>
      <w:r>
        <w:instrText xml:space="preserve"> HYPERLINK \l "_ENREF_6" \o "Chen, 2025 #50" </w:instrText>
      </w:r>
      <w:r>
        <w:fldChar w:fldCharType="separate"/>
      </w:r>
      <w:r>
        <w:rPr>
          <w:rStyle w:val="23"/>
          <w:rFonts w:hint="eastAsia" w:eastAsiaTheme="minorEastAsia" w:cstheme="minorBidi"/>
          <w:sz w:val="21"/>
          <w:szCs w:val="22"/>
        </w:rPr>
        <w:t>Chen et al., 2025</w:t>
      </w:r>
      <w:r>
        <w:rPr>
          <w:rStyle w:val="23"/>
          <w:rFonts w:hint="eastAsia" w:eastAsiaTheme="minorEastAsia" w:cstheme="minorBidi"/>
          <w:sz w:val="21"/>
          <w:szCs w:val="22"/>
        </w:rPr>
        <w:fldChar w:fldCharType="end"/>
      </w:r>
      <w:r>
        <w:rPr>
          <w:rFonts w:ascii="Times New Roman" w:hAnsi="Times New Roman" w:cs="Times New Roman" w:eastAsiaTheme="minorEastAsia"/>
          <w:sz w:val="21"/>
          <w:szCs w:val="24"/>
        </w:rPr>
        <w:t>)</w:t>
      </w:r>
      <w:r>
        <w:rPr>
          <w:rFonts w:ascii="Times New Roman" w:hAnsi="Times New Roman" w:cs="Times New Roman" w:eastAsiaTheme="minorEastAsia"/>
          <w:sz w:val="21"/>
          <w:szCs w:val="24"/>
        </w:rPr>
        <w:fldChar w:fldCharType="end"/>
      </w:r>
      <w:r>
        <w:rPr>
          <w:rFonts w:hint="eastAsia" w:ascii="Times New Roman" w:hAnsi="Times New Roman" w:cs="Times New Roman" w:eastAsiaTheme="minorEastAsia"/>
          <w:sz w:val="21"/>
          <w:szCs w:val="24"/>
        </w:rPr>
        <w:t xml:space="preserve"> </w:t>
      </w:r>
      <w:r>
        <w:rPr>
          <w:rFonts w:ascii="Times New Roman" w:hAnsi="Times New Roman" w:cs="Times New Roman" w:eastAsiaTheme="minorEastAsia"/>
          <w:sz w:val="21"/>
          <w:szCs w:val="24"/>
        </w:rPr>
        <w:t xml:space="preserve">was employed to assign weights to each indicator. </w:t>
      </w:r>
      <w:r>
        <w:rPr>
          <w:rFonts w:hint="eastAsia" w:ascii="Times New Roman" w:hAnsi="Times New Roman" w:cs="Times New Roman" w:eastAsiaTheme="minorEastAsia"/>
          <w:sz w:val="21"/>
          <w:szCs w:val="24"/>
        </w:rPr>
        <w:t>Following this approach,</w:t>
      </w:r>
      <w:r>
        <w:rPr>
          <w:rFonts w:ascii="Times New Roman" w:hAnsi="Times New Roman" w:cs="Times New Roman" w:eastAsiaTheme="minorEastAsia"/>
          <w:sz w:val="21"/>
          <w:szCs w:val="24"/>
        </w:rPr>
        <w:t xml:space="preserve"> the AER index was calculated for 30 Chinese provinces </w:t>
      </w:r>
      <w:r>
        <w:rPr>
          <w:rFonts w:hint="eastAsia" w:ascii="Times New Roman" w:hAnsi="Times New Roman" w:cs="Times New Roman" w:eastAsiaTheme="minorEastAsia"/>
          <w:sz w:val="21"/>
          <w:szCs w:val="24"/>
        </w:rPr>
        <w:t>spanning</w:t>
      </w:r>
      <w:r>
        <w:rPr>
          <w:rFonts w:ascii="Times New Roman" w:hAnsi="Times New Roman" w:cs="Times New Roman" w:eastAsiaTheme="minorEastAsia"/>
          <w:sz w:val="21"/>
          <w:szCs w:val="24"/>
        </w:rPr>
        <w:t xml:space="preserve"> the period </w:t>
      </w:r>
      <w:r>
        <w:rPr>
          <w:rFonts w:hint="eastAsia" w:ascii="Times New Roman" w:hAnsi="Times New Roman" w:cs="Times New Roman" w:eastAsiaTheme="minorEastAsia"/>
          <w:sz w:val="21"/>
          <w:szCs w:val="24"/>
        </w:rPr>
        <w:t xml:space="preserve">from </w:t>
      </w:r>
      <w:r>
        <w:rPr>
          <w:rFonts w:ascii="Times New Roman" w:hAnsi="Times New Roman" w:cs="Times New Roman" w:eastAsiaTheme="minorEastAsia"/>
          <w:sz w:val="21"/>
          <w:szCs w:val="24"/>
        </w:rPr>
        <w:t>2012</w:t>
      </w:r>
      <w:r>
        <w:rPr>
          <w:rFonts w:hint="eastAsia" w:ascii="Times New Roman" w:hAnsi="Times New Roman" w:cs="Times New Roman" w:eastAsiaTheme="minorEastAsia"/>
          <w:sz w:val="21"/>
          <w:szCs w:val="24"/>
        </w:rPr>
        <w:t xml:space="preserve"> to </w:t>
      </w:r>
      <w:r>
        <w:rPr>
          <w:rFonts w:ascii="Times New Roman" w:hAnsi="Times New Roman" w:cs="Times New Roman" w:eastAsiaTheme="minorEastAsia"/>
          <w:sz w:val="21"/>
          <w:szCs w:val="24"/>
        </w:rPr>
        <w:t>2023.</w:t>
      </w:r>
    </w:p>
    <w:p w14:paraId="69A61140">
      <w:pPr>
        <w:pStyle w:val="56"/>
        <w:spacing w:before="240"/>
        <w:rPr>
          <w:rFonts w:eastAsia="宋体"/>
          <w:sz w:val="24"/>
          <w:szCs w:val="24"/>
        </w:rPr>
      </w:pPr>
      <w:bookmarkStart w:id="11" w:name="_Ref216097386"/>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t>1</w:t>
      </w:r>
      <w:r>
        <w:rPr>
          <w:rFonts w:hint="eastAsia"/>
        </w:rPr>
        <w:fldChar w:fldCharType="end"/>
      </w:r>
      <w:bookmarkEnd w:id="11"/>
    </w:p>
    <w:p w14:paraId="79C6CE88">
      <w:pPr>
        <w:spacing w:line="480" w:lineRule="auto"/>
        <w:jc w:val="left"/>
        <w:rPr>
          <w:rFonts w:ascii="Times New Roman" w:hAnsi="Times New Roman" w:eastAsia="宋体"/>
          <w:sz w:val="18"/>
          <w:szCs w:val="18"/>
        </w:rPr>
      </w:pPr>
      <w:r>
        <w:rPr>
          <w:rFonts w:ascii="Times New Roman" w:hAnsi="Times New Roman" w:eastAsia="宋体"/>
          <w:sz w:val="18"/>
          <w:szCs w:val="18"/>
        </w:rPr>
        <w:t xml:space="preserve">Evaluation index system </w:t>
      </w:r>
      <w:r>
        <w:rPr>
          <w:rFonts w:hint="eastAsia" w:ascii="Times New Roman" w:hAnsi="Times New Roman" w:eastAsia="宋体"/>
          <w:sz w:val="18"/>
          <w:szCs w:val="18"/>
        </w:rPr>
        <w:t>of AER.</w:t>
      </w:r>
    </w:p>
    <w:tbl>
      <w:tblPr>
        <w:tblStyle w:val="19"/>
        <w:tblW w:w="9036" w:type="dxa"/>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326"/>
        <w:gridCol w:w="1276"/>
        <w:gridCol w:w="3481"/>
        <w:gridCol w:w="1341"/>
        <w:gridCol w:w="866"/>
        <w:gridCol w:w="746"/>
      </w:tblGrid>
      <w:tr w14:paraId="4A3E55C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tcBorders>
              <w:top w:val="single" w:color="auto" w:sz="12" w:space="0"/>
              <w:bottom w:val="single" w:color="auto" w:sz="6" w:space="0"/>
            </w:tcBorders>
            <w:noWrap/>
            <w:vAlign w:val="center"/>
          </w:tcPr>
          <w:p w14:paraId="5AEE3F7A">
            <w:pPr>
              <w:widowControl/>
              <w:snapToGrid w:val="0"/>
              <w:jc w:val="left"/>
              <w:rPr>
                <w:rFonts w:ascii="Times New Roman" w:hAnsi="Times New Roman" w:eastAsia="宋体" w:cs="Times New Roman"/>
                <w:kern w:val="0"/>
                <w:sz w:val="18"/>
                <w:szCs w:val="18"/>
              </w:rPr>
            </w:pPr>
            <w:bookmarkStart w:id="12" w:name="OLE_LINK24"/>
            <w:r>
              <w:rPr>
                <w:rFonts w:ascii="Times New Roman" w:hAnsi="Times New Roman" w:eastAsia="宋体" w:cs="Times New Roman"/>
                <w:kern w:val="0"/>
                <w:sz w:val="18"/>
                <w:szCs w:val="18"/>
              </w:rPr>
              <w:t xml:space="preserve">Primary </w:t>
            </w:r>
          </w:p>
          <w:p w14:paraId="0105FFC5">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Index</w:t>
            </w:r>
          </w:p>
        </w:tc>
        <w:tc>
          <w:tcPr>
            <w:tcW w:w="1276" w:type="dxa"/>
            <w:tcBorders>
              <w:top w:val="single" w:color="auto" w:sz="12" w:space="0"/>
              <w:bottom w:val="single" w:color="auto" w:sz="6" w:space="0"/>
            </w:tcBorders>
            <w:noWrap/>
            <w:vAlign w:val="center"/>
          </w:tcPr>
          <w:p w14:paraId="5E31D0E0">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Secondary</w:t>
            </w:r>
          </w:p>
          <w:p w14:paraId="382716F1">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Index</w:t>
            </w:r>
          </w:p>
        </w:tc>
        <w:tc>
          <w:tcPr>
            <w:tcW w:w="3481" w:type="dxa"/>
            <w:tcBorders>
              <w:top w:val="single" w:color="auto" w:sz="12" w:space="0"/>
              <w:bottom w:val="single" w:color="auto" w:sz="6" w:space="0"/>
            </w:tcBorders>
            <w:noWrap/>
            <w:vAlign w:val="center"/>
          </w:tcPr>
          <w:p w14:paraId="4EA7DA44">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Tertiary Index</w:t>
            </w:r>
          </w:p>
        </w:tc>
        <w:tc>
          <w:tcPr>
            <w:tcW w:w="1341" w:type="dxa"/>
            <w:tcBorders>
              <w:top w:val="single" w:color="auto" w:sz="12" w:space="0"/>
              <w:bottom w:val="single" w:color="auto" w:sz="6" w:space="0"/>
            </w:tcBorders>
            <w:noWrap/>
            <w:vAlign w:val="center"/>
          </w:tcPr>
          <w:p w14:paraId="186D3DD2">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Unit</w:t>
            </w:r>
          </w:p>
        </w:tc>
        <w:tc>
          <w:tcPr>
            <w:tcW w:w="866" w:type="dxa"/>
            <w:tcBorders>
              <w:top w:val="single" w:color="auto" w:sz="12" w:space="0"/>
              <w:bottom w:val="single" w:color="auto" w:sz="6" w:space="0"/>
            </w:tcBorders>
            <w:noWrap/>
            <w:vAlign w:val="center"/>
          </w:tcPr>
          <w:p w14:paraId="31E94FF8">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Attribute</w:t>
            </w:r>
          </w:p>
        </w:tc>
        <w:tc>
          <w:tcPr>
            <w:tcW w:w="746" w:type="dxa"/>
            <w:tcBorders>
              <w:top w:val="single" w:color="auto" w:sz="12" w:space="0"/>
              <w:bottom w:val="single" w:color="auto" w:sz="6" w:space="0"/>
            </w:tcBorders>
            <w:noWrap/>
            <w:vAlign w:val="center"/>
          </w:tcPr>
          <w:p w14:paraId="5EADBD26">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Weight</w:t>
            </w:r>
          </w:p>
        </w:tc>
      </w:tr>
      <w:tr w14:paraId="448FB47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restart"/>
            <w:tcBorders>
              <w:top w:val="single" w:color="auto" w:sz="6" w:space="0"/>
              <w:bottom w:val="nil"/>
            </w:tcBorders>
            <w:noWrap/>
            <w:vAlign w:val="center"/>
          </w:tcPr>
          <w:p w14:paraId="546CF673">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Risk</w:t>
            </w:r>
          </w:p>
          <w:p w14:paraId="73378718">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resistance</w:t>
            </w:r>
          </w:p>
          <w:p w14:paraId="3446A472">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capacity</w:t>
            </w:r>
          </w:p>
        </w:tc>
        <w:tc>
          <w:tcPr>
            <w:tcW w:w="1276" w:type="dxa"/>
            <w:vMerge w:val="restart"/>
            <w:tcBorders>
              <w:top w:val="single" w:color="auto" w:sz="6" w:space="0"/>
              <w:bottom w:val="nil"/>
            </w:tcBorders>
            <w:noWrap/>
            <w:vAlign w:val="center"/>
          </w:tcPr>
          <w:p w14:paraId="151F85A7">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Economic </w:t>
            </w:r>
          </w:p>
          <w:p w14:paraId="75572225">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resilience</w:t>
            </w:r>
          </w:p>
        </w:tc>
        <w:tc>
          <w:tcPr>
            <w:tcW w:w="3481" w:type="dxa"/>
            <w:tcBorders>
              <w:top w:val="single" w:color="auto" w:sz="6" w:space="0"/>
              <w:bottom w:val="nil"/>
            </w:tcBorders>
            <w:noWrap/>
            <w:vAlign w:val="center"/>
          </w:tcPr>
          <w:p w14:paraId="2AC5D469">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Gross output value of the primary industry</w:t>
            </w:r>
          </w:p>
          <w:p w14:paraId="02729A70">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Gross domestic product</w:t>
            </w:r>
          </w:p>
        </w:tc>
        <w:tc>
          <w:tcPr>
            <w:tcW w:w="1341" w:type="dxa"/>
            <w:tcBorders>
              <w:top w:val="single" w:color="auto" w:sz="6" w:space="0"/>
              <w:bottom w:val="nil"/>
            </w:tcBorders>
            <w:noWrap/>
            <w:vAlign w:val="center"/>
          </w:tcPr>
          <w:p w14:paraId="019B6972">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66" w:type="dxa"/>
            <w:tcBorders>
              <w:top w:val="single" w:color="auto" w:sz="6" w:space="0"/>
              <w:bottom w:val="nil"/>
            </w:tcBorders>
            <w:noWrap/>
            <w:vAlign w:val="center"/>
          </w:tcPr>
          <w:p w14:paraId="4228FB14">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single" w:color="auto" w:sz="6" w:space="0"/>
              <w:bottom w:val="nil"/>
            </w:tcBorders>
            <w:noWrap/>
            <w:vAlign w:val="center"/>
          </w:tcPr>
          <w:p w14:paraId="393515BD">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0.0391</w:t>
            </w:r>
          </w:p>
        </w:tc>
      </w:tr>
      <w:tr w14:paraId="0A2B317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tcBorders>
              <w:top w:val="nil"/>
              <w:bottom w:val="nil"/>
            </w:tcBorders>
            <w:vAlign w:val="center"/>
          </w:tcPr>
          <w:p w14:paraId="580B645E">
            <w:pPr>
              <w:widowControl/>
              <w:snapToGrid w:val="0"/>
              <w:jc w:val="left"/>
              <w:rPr>
                <w:rFonts w:ascii="Times New Roman" w:hAnsi="Times New Roman" w:eastAsia="宋体" w:cs="Times New Roman"/>
                <w:kern w:val="0"/>
                <w:sz w:val="18"/>
                <w:szCs w:val="18"/>
              </w:rPr>
            </w:pPr>
          </w:p>
        </w:tc>
        <w:tc>
          <w:tcPr>
            <w:tcW w:w="1276" w:type="dxa"/>
            <w:vMerge w:val="continue"/>
            <w:tcBorders>
              <w:top w:val="nil"/>
              <w:bottom w:val="nil"/>
            </w:tcBorders>
            <w:vAlign w:val="center"/>
          </w:tcPr>
          <w:p w14:paraId="48163EE4">
            <w:pPr>
              <w:widowControl/>
              <w:snapToGrid w:val="0"/>
              <w:jc w:val="left"/>
              <w:rPr>
                <w:rFonts w:ascii="Times New Roman" w:hAnsi="Times New Roman" w:eastAsia="宋体" w:cs="Times New Roman"/>
                <w:kern w:val="0"/>
                <w:sz w:val="18"/>
                <w:szCs w:val="18"/>
              </w:rPr>
            </w:pPr>
          </w:p>
        </w:tc>
        <w:tc>
          <w:tcPr>
            <w:tcW w:w="3481" w:type="dxa"/>
            <w:tcBorders>
              <w:top w:val="nil"/>
              <w:bottom w:val="nil"/>
            </w:tcBorders>
            <w:noWrap/>
            <w:vAlign w:val="center"/>
          </w:tcPr>
          <w:p w14:paraId="18779B61">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Rural retail sales of consumer goods</w:t>
            </w:r>
          </w:p>
          <w:p w14:paraId="3F9096F4">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Total social retail sales</w:t>
            </w:r>
          </w:p>
        </w:tc>
        <w:tc>
          <w:tcPr>
            <w:tcW w:w="1341" w:type="dxa"/>
            <w:tcBorders>
              <w:top w:val="nil"/>
              <w:bottom w:val="nil"/>
            </w:tcBorders>
            <w:noWrap/>
            <w:vAlign w:val="center"/>
          </w:tcPr>
          <w:p w14:paraId="28FBE9C1">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66" w:type="dxa"/>
            <w:tcBorders>
              <w:top w:val="nil"/>
              <w:bottom w:val="nil"/>
            </w:tcBorders>
            <w:noWrap/>
            <w:vAlign w:val="center"/>
          </w:tcPr>
          <w:p w14:paraId="63436628">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nil"/>
              <w:bottom w:val="nil"/>
            </w:tcBorders>
            <w:noWrap/>
            <w:vAlign w:val="center"/>
          </w:tcPr>
          <w:p w14:paraId="2BB2EC97">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0.0227</w:t>
            </w:r>
          </w:p>
        </w:tc>
      </w:tr>
      <w:tr w14:paraId="0CED596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tcBorders>
              <w:top w:val="nil"/>
              <w:bottom w:val="nil"/>
            </w:tcBorders>
            <w:vAlign w:val="center"/>
          </w:tcPr>
          <w:p w14:paraId="3614E564">
            <w:pPr>
              <w:widowControl/>
              <w:snapToGrid w:val="0"/>
              <w:jc w:val="left"/>
              <w:rPr>
                <w:rFonts w:ascii="Times New Roman" w:hAnsi="Times New Roman" w:eastAsia="宋体" w:cs="Times New Roman"/>
                <w:kern w:val="0"/>
                <w:sz w:val="18"/>
                <w:szCs w:val="18"/>
              </w:rPr>
            </w:pPr>
          </w:p>
        </w:tc>
        <w:tc>
          <w:tcPr>
            <w:tcW w:w="1276" w:type="dxa"/>
            <w:vMerge w:val="continue"/>
            <w:tcBorders>
              <w:top w:val="nil"/>
              <w:bottom w:val="nil"/>
            </w:tcBorders>
            <w:vAlign w:val="center"/>
          </w:tcPr>
          <w:p w14:paraId="5AB0F449">
            <w:pPr>
              <w:widowControl/>
              <w:snapToGrid w:val="0"/>
              <w:jc w:val="left"/>
              <w:rPr>
                <w:rFonts w:ascii="Times New Roman" w:hAnsi="Times New Roman" w:eastAsia="宋体" w:cs="Times New Roman"/>
                <w:kern w:val="0"/>
                <w:sz w:val="18"/>
                <w:szCs w:val="18"/>
              </w:rPr>
            </w:pPr>
          </w:p>
        </w:tc>
        <w:tc>
          <w:tcPr>
            <w:tcW w:w="3481" w:type="dxa"/>
            <w:tcBorders>
              <w:top w:val="nil"/>
              <w:bottom w:val="nil"/>
            </w:tcBorders>
            <w:noWrap/>
            <w:vAlign w:val="center"/>
          </w:tcPr>
          <w:p w14:paraId="51986EE2">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Added value of agriculture, forestry, </w:t>
            </w:r>
          </w:p>
          <w:p w14:paraId="5FE2B030">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animal husbandry, and fishery</w:t>
            </w:r>
          </w:p>
          <w:p w14:paraId="168E0458">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Number of employed persons in the primary industry</w:t>
            </w:r>
          </w:p>
        </w:tc>
        <w:tc>
          <w:tcPr>
            <w:tcW w:w="1341" w:type="dxa"/>
            <w:tcBorders>
              <w:top w:val="nil"/>
              <w:bottom w:val="nil"/>
            </w:tcBorders>
            <w:noWrap/>
            <w:vAlign w:val="center"/>
          </w:tcPr>
          <w:p w14:paraId="614974D1">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100 million CNY </w:t>
            </w:r>
          </w:p>
          <w:p w14:paraId="5A134F64">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per 10,000 persons</w:t>
            </w:r>
          </w:p>
        </w:tc>
        <w:tc>
          <w:tcPr>
            <w:tcW w:w="866" w:type="dxa"/>
            <w:tcBorders>
              <w:top w:val="nil"/>
              <w:bottom w:val="nil"/>
            </w:tcBorders>
            <w:noWrap/>
            <w:vAlign w:val="center"/>
          </w:tcPr>
          <w:p w14:paraId="31D98486">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nil"/>
              <w:bottom w:val="nil"/>
            </w:tcBorders>
            <w:noWrap/>
            <w:vAlign w:val="center"/>
          </w:tcPr>
          <w:p w14:paraId="00BDD051">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0.0447</w:t>
            </w:r>
          </w:p>
        </w:tc>
      </w:tr>
      <w:tr w14:paraId="31C2179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tcBorders>
              <w:top w:val="nil"/>
              <w:bottom w:val="nil"/>
            </w:tcBorders>
            <w:vAlign w:val="center"/>
          </w:tcPr>
          <w:p w14:paraId="088C14E0">
            <w:pPr>
              <w:widowControl/>
              <w:snapToGrid w:val="0"/>
              <w:jc w:val="left"/>
              <w:rPr>
                <w:rFonts w:ascii="Times New Roman" w:hAnsi="Times New Roman" w:eastAsia="宋体" w:cs="Times New Roman"/>
                <w:kern w:val="0"/>
                <w:sz w:val="18"/>
                <w:szCs w:val="18"/>
              </w:rPr>
            </w:pPr>
          </w:p>
        </w:tc>
        <w:tc>
          <w:tcPr>
            <w:tcW w:w="1276" w:type="dxa"/>
            <w:vMerge w:val="continue"/>
            <w:tcBorders>
              <w:top w:val="nil"/>
              <w:bottom w:val="nil"/>
            </w:tcBorders>
            <w:vAlign w:val="center"/>
          </w:tcPr>
          <w:p w14:paraId="01097A6E">
            <w:pPr>
              <w:widowControl/>
              <w:snapToGrid w:val="0"/>
              <w:jc w:val="left"/>
              <w:rPr>
                <w:rFonts w:ascii="Times New Roman" w:hAnsi="Times New Roman" w:eastAsia="宋体" w:cs="Times New Roman"/>
                <w:kern w:val="0"/>
                <w:sz w:val="18"/>
                <w:szCs w:val="18"/>
              </w:rPr>
            </w:pPr>
          </w:p>
        </w:tc>
        <w:tc>
          <w:tcPr>
            <w:tcW w:w="3481" w:type="dxa"/>
            <w:tcBorders>
              <w:top w:val="nil"/>
              <w:bottom w:val="nil"/>
            </w:tcBorders>
            <w:noWrap/>
            <w:vAlign w:val="center"/>
          </w:tcPr>
          <w:p w14:paraId="63AA8DC3">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Added value of agriculture, forestry,</w:t>
            </w:r>
          </w:p>
          <w:p w14:paraId="210D5217">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animal husbandry, and fishery</w:t>
            </w:r>
          </w:p>
          <w:p w14:paraId="1712F454">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Total sown area of crops</w:t>
            </w:r>
          </w:p>
        </w:tc>
        <w:tc>
          <w:tcPr>
            <w:tcW w:w="1341" w:type="dxa"/>
            <w:tcBorders>
              <w:top w:val="nil"/>
              <w:bottom w:val="nil"/>
            </w:tcBorders>
            <w:noWrap/>
            <w:vAlign w:val="center"/>
          </w:tcPr>
          <w:p w14:paraId="4D34084A">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100 million CNY </w:t>
            </w:r>
          </w:p>
          <w:p w14:paraId="602EED8D">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per 10,00 hectares</w:t>
            </w:r>
          </w:p>
        </w:tc>
        <w:tc>
          <w:tcPr>
            <w:tcW w:w="866" w:type="dxa"/>
            <w:tcBorders>
              <w:top w:val="nil"/>
              <w:bottom w:val="nil"/>
            </w:tcBorders>
            <w:noWrap/>
            <w:vAlign w:val="center"/>
          </w:tcPr>
          <w:p w14:paraId="035C1EEE">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nil"/>
              <w:bottom w:val="nil"/>
            </w:tcBorders>
            <w:noWrap/>
            <w:vAlign w:val="center"/>
          </w:tcPr>
          <w:p w14:paraId="001B48BC">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0.0374</w:t>
            </w:r>
          </w:p>
        </w:tc>
      </w:tr>
      <w:tr w14:paraId="4866E9E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tcBorders>
              <w:top w:val="nil"/>
              <w:bottom w:val="nil"/>
            </w:tcBorders>
            <w:vAlign w:val="center"/>
          </w:tcPr>
          <w:p w14:paraId="7E0F8D50">
            <w:pPr>
              <w:widowControl/>
              <w:snapToGrid w:val="0"/>
              <w:jc w:val="left"/>
              <w:rPr>
                <w:rFonts w:ascii="Times New Roman" w:hAnsi="Times New Roman" w:eastAsia="宋体" w:cs="Times New Roman"/>
                <w:kern w:val="0"/>
                <w:sz w:val="18"/>
                <w:szCs w:val="18"/>
              </w:rPr>
            </w:pPr>
          </w:p>
        </w:tc>
        <w:tc>
          <w:tcPr>
            <w:tcW w:w="1276" w:type="dxa"/>
            <w:vMerge w:val="restart"/>
            <w:tcBorders>
              <w:top w:val="nil"/>
              <w:bottom w:val="nil"/>
            </w:tcBorders>
            <w:noWrap/>
            <w:vAlign w:val="center"/>
          </w:tcPr>
          <w:p w14:paraId="35AD2AA7">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Production </w:t>
            </w:r>
          </w:p>
          <w:p w14:paraId="4F4A146B">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resilience</w:t>
            </w:r>
          </w:p>
        </w:tc>
        <w:tc>
          <w:tcPr>
            <w:tcW w:w="3481" w:type="dxa"/>
            <w:tcBorders>
              <w:top w:val="nil"/>
              <w:bottom w:val="nil"/>
            </w:tcBorders>
            <w:noWrap/>
            <w:vAlign w:val="center"/>
          </w:tcPr>
          <w:p w14:paraId="67FE3F36">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Effective irrigation area </w:t>
            </w:r>
          </w:p>
          <w:p w14:paraId="1FCBDB80">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Total sown area of crops</w:t>
            </w:r>
          </w:p>
        </w:tc>
        <w:tc>
          <w:tcPr>
            <w:tcW w:w="1341" w:type="dxa"/>
            <w:tcBorders>
              <w:top w:val="nil"/>
              <w:bottom w:val="nil"/>
            </w:tcBorders>
            <w:noWrap/>
            <w:vAlign w:val="center"/>
          </w:tcPr>
          <w:p w14:paraId="6AB09204">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66" w:type="dxa"/>
            <w:tcBorders>
              <w:top w:val="nil"/>
              <w:bottom w:val="nil"/>
            </w:tcBorders>
            <w:noWrap/>
            <w:vAlign w:val="center"/>
          </w:tcPr>
          <w:p w14:paraId="12DE9F76">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nil"/>
              <w:bottom w:val="nil"/>
            </w:tcBorders>
            <w:noWrap/>
            <w:vAlign w:val="center"/>
          </w:tcPr>
          <w:p w14:paraId="01983CF3">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0.0443</w:t>
            </w:r>
          </w:p>
        </w:tc>
      </w:tr>
      <w:tr w14:paraId="1C4A021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tcBorders>
              <w:top w:val="nil"/>
              <w:bottom w:val="nil"/>
            </w:tcBorders>
            <w:vAlign w:val="center"/>
          </w:tcPr>
          <w:p w14:paraId="2F282287">
            <w:pPr>
              <w:widowControl/>
              <w:snapToGrid w:val="0"/>
              <w:jc w:val="left"/>
              <w:rPr>
                <w:rFonts w:ascii="Times New Roman" w:hAnsi="Times New Roman" w:eastAsia="宋体" w:cs="Times New Roman"/>
                <w:kern w:val="0"/>
                <w:sz w:val="18"/>
                <w:szCs w:val="18"/>
              </w:rPr>
            </w:pPr>
          </w:p>
        </w:tc>
        <w:tc>
          <w:tcPr>
            <w:tcW w:w="1276" w:type="dxa"/>
            <w:vMerge w:val="continue"/>
            <w:tcBorders>
              <w:top w:val="nil"/>
              <w:bottom w:val="nil"/>
            </w:tcBorders>
            <w:vAlign w:val="center"/>
          </w:tcPr>
          <w:p w14:paraId="31C171A8">
            <w:pPr>
              <w:widowControl/>
              <w:snapToGrid w:val="0"/>
              <w:jc w:val="left"/>
              <w:rPr>
                <w:rFonts w:ascii="Times New Roman" w:hAnsi="Times New Roman" w:eastAsia="宋体" w:cs="Times New Roman"/>
                <w:kern w:val="0"/>
                <w:sz w:val="18"/>
                <w:szCs w:val="18"/>
              </w:rPr>
            </w:pPr>
          </w:p>
        </w:tc>
        <w:tc>
          <w:tcPr>
            <w:tcW w:w="3481" w:type="dxa"/>
            <w:tcBorders>
              <w:top w:val="nil"/>
              <w:bottom w:val="nil"/>
            </w:tcBorders>
            <w:noWrap/>
            <w:vAlign w:val="center"/>
          </w:tcPr>
          <w:p w14:paraId="653200FD">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Total power of agricultural machinery</w:t>
            </w:r>
          </w:p>
          <w:p w14:paraId="4A5CC446">
            <w:pPr>
              <w:widowControl/>
              <w:snapToGrid w:val="0"/>
              <w:jc w:val="left"/>
              <w:rPr>
                <w:rFonts w:ascii="Times New Roman" w:hAnsi="Times New Roman" w:eastAsia="宋体" w:cs="Times New Roman"/>
                <w:kern w:val="0"/>
                <w:sz w:val="18"/>
                <w:szCs w:val="18"/>
              </w:rPr>
            </w:pPr>
            <w:bookmarkStart w:id="13" w:name="OLE_LINK25"/>
            <w:r>
              <w:rPr>
                <w:rFonts w:ascii="Times New Roman" w:hAnsi="Times New Roman" w:eastAsia="宋体" w:cs="Times New Roman"/>
                <w:kern w:val="0"/>
                <w:sz w:val="18"/>
                <w:szCs w:val="18"/>
              </w:rPr>
              <w:t>/ Total sown area of crops</w:t>
            </w:r>
            <w:bookmarkEnd w:id="13"/>
          </w:p>
        </w:tc>
        <w:tc>
          <w:tcPr>
            <w:tcW w:w="1341" w:type="dxa"/>
            <w:tcBorders>
              <w:top w:val="nil"/>
              <w:bottom w:val="nil"/>
            </w:tcBorders>
            <w:noWrap/>
            <w:vAlign w:val="center"/>
          </w:tcPr>
          <w:p w14:paraId="63E28D84">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10,000 kW </w:t>
            </w:r>
          </w:p>
          <w:p w14:paraId="055BE3DD">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per 1,000 hectares</w:t>
            </w:r>
          </w:p>
        </w:tc>
        <w:tc>
          <w:tcPr>
            <w:tcW w:w="866" w:type="dxa"/>
            <w:tcBorders>
              <w:top w:val="nil"/>
              <w:bottom w:val="nil"/>
            </w:tcBorders>
            <w:noWrap/>
            <w:vAlign w:val="center"/>
          </w:tcPr>
          <w:p w14:paraId="31413FC5">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nil"/>
              <w:bottom w:val="nil"/>
            </w:tcBorders>
            <w:noWrap/>
            <w:vAlign w:val="center"/>
          </w:tcPr>
          <w:p w14:paraId="2F384208">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0.0394</w:t>
            </w:r>
          </w:p>
        </w:tc>
      </w:tr>
      <w:tr w14:paraId="3B1234B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tcBorders>
              <w:top w:val="nil"/>
              <w:bottom w:val="nil"/>
            </w:tcBorders>
            <w:vAlign w:val="center"/>
          </w:tcPr>
          <w:p w14:paraId="5E3F6713">
            <w:pPr>
              <w:widowControl/>
              <w:snapToGrid w:val="0"/>
              <w:jc w:val="left"/>
              <w:rPr>
                <w:rFonts w:ascii="Times New Roman" w:hAnsi="Times New Roman" w:eastAsia="宋体" w:cs="Times New Roman"/>
                <w:kern w:val="0"/>
                <w:sz w:val="18"/>
                <w:szCs w:val="18"/>
              </w:rPr>
            </w:pPr>
          </w:p>
        </w:tc>
        <w:tc>
          <w:tcPr>
            <w:tcW w:w="1276" w:type="dxa"/>
            <w:vMerge w:val="continue"/>
            <w:tcBorders>
              <w:top w:val="nil"/>
              <w:bottom w:val="nil"/>
            </w:tcBorders>
            <w:vAlign w:val="center"/>
          </w:tcPr>
          <w:p w14:paraId="4162369E">
            <w:pPr>
              <w:widowControl/>
              <w:snapToGrid w:val="0"/>
              <w:jc w:val="left"/>
              <w:rPr>
                <w:rFonts w:ascii="Times New Roman" w:hAnsi="Times New Roman" w:eastAsia="宋体" w:cs="Times New Roman"/>
                <w:kern w:val="0"/>
                <w:sz w:val="18"/>
                <w:szCs w:val="18"/>
              </w:rPr>
            </w:pPr>
          </w:p>
        </w:tc>
        <w:tc>
          <w:tcPr>
            <w:tcW w:w="3481" w:type="dxa"/>
            <w:tcBorders>
              <w:top w:val="nil"/>
              <w:bottom w:val="nil"/>
            </w:tcBorders>
            <w:noWrap/>
            <w:vAlign w:val="center"/>
          </w:tcPr>
          <w:p w14:paraId="6FD628C2">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Grain output</w:t>
            </w:r>
          </w:p>
        </w:tc>
        <w:tc>
          <w:tcPr>
            <w:tcW w:w="1341" w:type="dxa"/>
            <w:tcBorders>
              <w:top w:val="nil"/>
              <w:bottom w:val="nil"/>
            </w:tcBorders>
            <w:noWrap/>
            <w:vAlign w:val="center"/>
          </w:tcPr>
          <w:p w14:paraId="05E680C2">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10,000 tons</w:t>
            </w:r>
          </w:p>
        </w:tc>
        <w:tc>
          <w:tcPr>
            <w:tcW w:w="866" w:type="dxa"/>
            <w:tcBorders>
              <w:top w:val="nil"/>
              <w:bottom w:val="nil"/>
            </w:tcBorders>
            <w:noWrap/>
            <w:vAlign w:val="center"/>
          </w:tcPr>
          <w:p w14:paraId="76E643B4">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nil"/>
              <w:bottom w:val="nil"/>
            </w:tcBorders>
            <w:noWrap/>
            <w:vAlign w:val="center"/>
          </w:tcPr>
          <w:p w14:paraId="7AC03730">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0.0814</w:t>
            </w:r>
          </w:p>
        </w:tc>
      </w:tr>
      <w:tr w14:paraId="502F7DA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tcBorders>
              <w:top w:val="nil"/>
              <w:bottom w:val="single" w:color="auto" w:sz="6" w:space="0"/>
            </w:tcBorders>
            <w:vAlign w:val="center"/>
          </w:tcPr>
          <w:p w14:paraId="447DD35C">
            <w:pPr>
              <w:widowControl/>
              <w:snapToGrid w:val="0"/>
              <w:jc w:val="left"/>
              <w:rPr>
                <w:rFonts w:ascii="Times New Roman" w:hAnsi="Times New Roman" w:eastAsia="宋体" w:cs="Times New Roman"/>
                <w:kern w:val="0"/>
                <w:sz w:val="18"/>
                <w:szCs w:val="18"/>
              </w:rPr>
            </w:pPr>
          </w:p>
        </w:tc>
        <w:tc>
          <w:tcPr>
            <w:tcW w:w="1276" w:type="dxa"/>
            <w:vMerge w:val="continue"/>
            <w:tcBorders>
              <w:top w:val="nil"/>
              <w:bottom w:val="single" w:color="auto" w:sz="6" w:space="0"/>
            </w:tcBorders>
            <w:vAlign w:val="center"/>
          </w:tcPr>
          <w:p w14:paraId="2A2239B4">
            <w:pPr>
              <w:widowControl/>
              <w:snapToGrid w:val="0"/>
              <w:jc w:val="left"/>
              <w:rPr>
                <w:rFonts w:ascii="Times New Roman" w:hAnsi="Times New Roman" w:eastAsia="宋体" w:cs="Times New Roman"/>
                <w:kern w:val="0"/>
                <w:sz w:val="18"/>
                <w:szCs w:val="18"/>
              </w:rPr>
            </w:pPr>
          </w:p>
        </w:tc>
        <w:tc>
          <w:tcPr>
            <w:tcW w:w="3481" w:type="dxa"/>
            <w:tcBorders>
              <w:top w:val="nil"/>
              <w:bottom w:val="single" w:color="auto" w:sz="6" w:space="0"/>
            </w:tcBorders>
            <w:noWrap/>
            <w:vAlign w:val="center"/>
          </w:tcPr>
          <w:p w14:paraId="7E0C7A97">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Application amount of chemical fertilizer </w:t>
            </w:r>
          </w:p>
          <w:p w14:paraId="3FC7E8A5">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Total sown area of crops</w:t>
            </w:r>
          </w:p>
        </w:tc>
        <w:tc>
          <w:tcPr>
            <w:tcW w:w="1341" w:type="dxa"/>
            <w:tcBorders>
              <w:top w:val="nil"/>
              <w:bottom w:val="single" w:color="auto" w:sz="6" w:space="0"/>
            </w:tcBorders>
            <w:noWrap/>
            <w:vAlign w:val="center"/>
          </w:tcPr>
          <w:p w14:paraId="7334CA18">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10,000 tons </w:t>
            </w:r>
          </w:p>
          <w:p w14:paraId="4B39F7D9">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per 10,000 hectares</w:t>
            </w:r>
          </w:p>
        </w:tc>
        <w:tc>
          <w:tcPr>
            <w:tcW w:w="866" w:type="dxa"/>
            <w:tcBorders>
              <w:top w:val="nil"/>
              <w:bottom w:val="single" w:color="auto" w:sz="6" w:space="0"/>
            </w:tcBorders>
            <w:noWrap/>
            <w:vAlign w:val="center"/>
          </w:tcPr>
          <w:p w14:paraId="09E626DD">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nil"/>
              <w:bottom w:val="single" w:color="auto" w:sz="6" w:space="0"/>
            </w:tcBorders>
            <w:noWrap/>
            <w:vAlign w:val="center"/>
          </w:tcPr>
          <w:p w14:paraId="5D6D9665">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0.0130</w:t>
            </w:r>
          </w:p>
        </w:tc>
      </w:tr>
      <w:tr w14:paraId="389B1ED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restart"/>
            <w:tcBorders>
              <w:top w:val="single" w:color="auto" w:sz="6" w:space="0"/>
              <w:bottom w:val="nil"/>
            </w:tcBorders>
            <w:noWrap/>
            <w:vAlign w:val="center"/>
          </w:tcPr>
          <w:p w14:paraId="48F53FA5">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Adaptive adjustment </w:t>
            </w:r>
          </w:p>
          <w:p w14:paraId="03978911">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capacity</w:t>
            </w:r>
          </w:p>
        </w:tc>
        <w:tc>
          <w:tcPr>
            <w:tcW w:w="1276" w:type="dxa"/>
            <w:vMerge w:val="restart"/>
            <w:tcBorders>
              <w:top w:val="single" w:color="auto" w:sz="6" w:space="0"/>
              <w:bottom w:val="nil"/>
            </w:tcBorders>
            <w:noWrap/>
            <w:vAlign w:val="center"/>
          </w:tcPr>
          <w:p w14:paraId="677208C5">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Economic</w:t>
            </w:r>
          </w:p>
          <w:p w14:paraId="1CC7653B">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adaptability</w:t>
            </w:r>
          </w:p>
        </w:tc>
        <w:tc>
          <w:tcPr>
            <w:tcW w:w="3481" w:type="dxa"/>
            <w:tcBorders>
              <w:top w:val="single" w:color="auto" w:sz="6" w:space="0"/>
              <w:bottom w:val="nil"/>
            </w:tcBorders>
            <w:noWrap/>
            <w:vAlign w:val="center"/>
          </w:tcPr>
          <w:p w14:paraId="28833EFC">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Per capita disposable income </w:t>
            </w:r>
          </w:p>
          <w:p w14:paraId="4E140603">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of rural residents</w:t>
            </w:r>
          </w:p>
        </w:tc>
        <w:tc>
          <w:tcPr>
            <w:tcW w:w="1341" w:type="dxa"/>
            <w:tcBorders>
              <w:top w:val="single" w:color="auto" w:sz="6" w:space="0"/>
              <w:bottom w:val="nil"/>
            </w:tcBorders>
            <w:noWrap/>
            <w:vAlign w:val="center"/>
          </w:tcPr>
          <w:p w14:paraId="71379154">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CNY</w:t>
            </w:r>
          </w:p>
        </w:tc>
        <w:tc>
          <w:tcPr>
            <w:tcW w:w="866" w:type="dxa"/>
            <w:tcBorders>
              <w:top w:val="single" w:color="auto" w:sz="6" w:space="0"/>
              <w:bottom w:val="nil"/>
            </w:tcBorders>
            <w:noWrap/>
            <w:vAlign w:val="center"/>
          </w:tcPr>
          <w:p w14:paraId="7BCF4776">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single" w:color="auto" w:sz="6" w:space="0"/>
              <w:bottom w:val="nil"/>
            </w:tcBorders>
            <w:noWrap/>
            <w:vAlign w:val="center"/>
          </w:tcPr>
          <w:p w14:paraId="59F5751F">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0.0433</w:t>
            </w:r>
          </w:p>
        </w:tc>
      </w:tr>
      <w:tr w14:paraId="036DCDE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tcBorders>
              <w:top w:val="nil"/>
              <w:bottom w:val="nil"/>
            </w:tcBorders>
            <w:vAlign w:val="center"/>
          </w:tcPr>
          <w:p w14:paraId="31FA4218">
            <w:pPr>
              <w:widowControl/>
              <w:snapToGrid w:val="0"/>
              <w:jc w:val="left"/>
              <w:rPr>
                <w:rFonts w:ascii="Times New Roman" w:hAnsi="Times New Roman" w:eastAsia="宋体" w:cs="Times New Roman"/>
                <w:kern w:val="0"/>
                <w:sz w:val="18"/>
                <w:szCs w:val="18"/>
              </w:rPr>
            </w:pPr>
          </w:p>
        </w:tc>
        <w:tc>
          <w:tcPr>
            <w:tcW w:w="1276" w:type="dxa"/>
            <w:vMerge w:val="continue"/>
            <w:tcBorders>
              <w:top w:val="nil"/>
              <w:bottom w:val="nil"/>
            </w:tcBorders>
            <w:vAlign w:val="center"/>
          </w:tcPr>
          <w:p w14:paraId="68C66A75">
            <w:pPr>
              <w:widowControl/>
              <w:snapToGrid w:val="0"/>
              <w:jc w:val="left"/>
              <w:rPr>
                <w:rFonts w:ascii="Times New Roman" w:hAnsi="Times New Roman" w:eastAsia="宋体" w:cs="Times New Roman"/>
                <w:kern w:val="0"/>
                <w:sz w:val="18"/>
                <w:szCs w:val="18"/>
              </w:rPr>
            </w:pPr>
          </w:p>
        </w:tc>
        <w:tc>
          <w:tcPr>
            <w:tcW w:w="3481" w:type="dxa"/>
            <w:tcBorders>
              <w:top w:val="nil"/>
              <w:bottom w:val="nil"/>
            </w:tcBorders>
            <w:noWrap/>
            <w:vAlign w:val="center"/>
          </w:tcPr>
          <w:p w14:paraId="1EEEFF3F">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Per capita consumption expenditure </w:t>
            </w:r>
          </w:p>
          <w:p w14:paraId="51C2C736">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of rural residents</w:t>
            </w:r>
          </w:p>
        </w:tc>
        <w:tc>
          <w:tcPr>
            <w:tcW w:w="1341" w:type="dxa"/>
            <w:tcBorders>
              <w:top w:val="nil"/>
              <w:bottom w:val="nil"/>
            </w:tcBorders>
            <w:noWrap/>
            <w:vAlign w:val="center"/>
          </w:tcPr>
          <w:p w14:paraId="38614CB7">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CNY</w:t>
            </w:r>
          </w:p>
        </w:tc>
        <w:tc>
          <w:tcPr>
            <w:tcW w:w="866" w:type="dxa"/>
            <w:tcBorders>
              <w:top w:val="nil"/>
              <w:bottom w:val="nil"/>
            </w:tcBorders>
            <w:noWrap/>
            <w:vAlign w:val="center"/>
          </w:tcPr>
          <w:p w14:paraId="07C8EA1E">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nil"/>
              <w:bottom w:val="nil"/>
            </w:tcBorders>
            <w:noWrap/>
            <w:vAlign w:val="center"/>
          </w:tcPr>
          <w:p w14:paraId="41CA2803">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0.0387</w:t>
            </w:r>
          </w:p>
        </w:tc>
      </w:tr>
      <w:tr w14:paraId="3D31883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tcBorders>
              <w:top w:val="nil"/>
              <w:bottom w:val="nil"/>
            </w:tcBorders>
            <w:vAlign w:val="center"/>
          </w:tcPr>
          <w:p w14:paraId="26804C4B">
            <w:pPr>
              <w:widowControl/>
              <w:snapToGrid w:val="0"/>
              <w:jc w:val="left"/>
              <w:rPr>
                <w:rFonts w:ascii="Times New Roman" w:hAnsi="Times New Roman" w:eastAsia="宋体" w:cs="Times New Roman"/>
                <w:kern w:val="0"/>
                <w:sz w:val="18"/>
                <w:szCs w:val="18"/>
              </w:rPr>
            </w:pPr>
          </w:p>
        </w:tc>
        <w:tc>
          <w:tcPr>
            <w:tcW w:w="1276" w:type="dxa"/>
            <w:vMerge w:val="restart"/>
            <w:tcBorders>
              <w:top w:val="nil"/>
              <w:bottom w:val="nil"/>
            </w:tcBorders>
            <w:noWrap/>
            <w:vAlign w:val="center"/>
          </w:tcPr>
          <w:p w14:paraId="22FB9005">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Government </w:t>
            </w:r>
          </w:p>
          <w:p w14:paraId="27D0E131">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security</w:t>
            </w:r>
          </w:p>
        </w:tc>
        <w:tc>
          <w:tcPr>
            <w:tcW w:w="3481" w:type="dxa"/>
            <w:tcBorders>
              <w:top w:val="nil"/>
              <w:bottom w:val="nil"/>
            </w:tcBorders>
            <w:noWrap/>
            <w:vAlign w:val="center"/>
          </w:tcPr>
          <w:p w14:paraId="135BD252">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Local government expenditure on agriculture, </w:t>
            </w:r>
          </w:p>
          <w:p w14:paraId="44A04C23">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forestry, and water affairs / Local general budget expenditure</w:t>
            </w:r>
          </w:p>
        </w:tc>
        <w:tc>
          <w:tcPr>
            <w:tcW w:w="1341" w:type="dxa"/>
            <w:tcBorders>
              <w:top w:val="nil"/>
              <w:bottom w:val="nil"/>
            </w:tcBorders>
            <w:noWrap/>
            <w:vAlign w:val="center"/>
          </w:tcPr>
          <w:p w14:paraId="5495A4F8">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66" w:type="dxa"/>
            <w:tcBorders>
              <w:top w:val="nil"/>
              <w:bottom w:val="nil"/>
            </w:tcBorders>
            <w:noWrap/>
            <w:vAlign w:val="center"/>
          </w:tcPr>
          <w:p w14:paraId="0BE69829">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nil"/>
              <w:bottom w:val="nil"/>
            </w:tcBorders>
            <w:noWrap/>
            <w:vAlign w:val="center"/>
          </w:tcPr>
          <w:p w14:paraId="28681D1C">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0.0264</w:t>
            </w:r>
          </w:p>
        </w:tc>
      </w:tr>
      <w:tr w14:paraId="24F183E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tcBorders>
              <w:top w:val="nil"/>
              <w:bottom w:val="nil"/>
            </w:tcBorders>
            <w:vAlign w:val="center"/>
          </w:tcPr>
          <w:p w14:paraId="3042DBE1">
            <w:pPr>
              <w:widowControl/>
              <w:snapToGrid w:val="0"/>
              <w:jc w:val="left"/>
              <w:rPr>
                <w:rFonts w:ascii="Times New Roman" w:hAnsi="Times New Roman" w:eastAsia="宋体" w:cs="Times New Roman"/>
                <w:kern w:val="0"/>
                <w:sz w:val="18"/>
                <w:szCs w:val="18"/>
              </w:rPr>
            </w:pPr>
          </w:p>
        </w:tc>
        <w:tc>
          <w:tcPr>
            <w:tcW w:w="1276" w:type="dxa"/>
            <w:vMerge w:val="continue"/>
            <w:tcBorders>
              <w:top w:val="nil"/>
              <w:bottom w:val="nil"/>
            </w:tcBorders>
            <w:vAlign w:val="center"/>
          </w:tcPr>
          <w:p w14:paraId="0FFA07EE">
            <w:pPr>
              <w:widowControl/>
              <w:snapToGrid w:val="0"/>
              <w:jc w:val="left"/>
              <w:rPr>
                <w:rFonts w:ascii="Times New Roman" w:hAnsi="Times New Roman" w:eastAsia="宋体" w:cs="Times New Roman"/>
                <w:kern w:val="0"/>
                <w:sz w:val="18"/>
                <w:szCs w:val="18"/>
              </w:rPr>
            </w:pPr>
          </w:p>
        </w:tc>
        <w:tc>
          <w:tcPr>
            <w:tcW w:w="3481" w:type="dxa"/>
            <w:tcBorders>
              <w:top w:val="nil"/>
              <w:bottom w:val="nil"/>
            </w:tcBorders>
            <w:noWrap/>
            <w:vAlign w:val="center"/>
          </w:tcPr>
          <w:p w14:paraId="060EE9FD">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Number of rural residents under the </w:t>
            </w:r>
          </w:p>
          <w:p w14:paraId="05334F0D">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minimum living security system</w:t>
            </w:r>
          </w:p>
        </w:tc>
        <w:tc>
          <w:tcPr>
            <w:tcW w:w="1341" w:type="dxa"/>
            <w:tcBorders>
              <w:top w:val="nil"/>
              <w:bottom w:val="nil"/>
            </w:tcBorders>
            <w:noWrap/>
            <w:vAlign w:val="center"/>
          </w:tcPr>
          <w:p w14:paraId="1C6C6BC8">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10,000persons</w:t>
            </w:r>
          </w:p>
        </w:tc>
        <w:tc>
          <w:tcPr>
            <w:tcW w:w="866" w:type="dxa"/>
            <w:tcBorders>
              <w:top w:val="nil"/>
              <w:bottom w:val="nil"/>
            </w:tcBorders>
            <w:noWrap/>
            <w:vAlign w:val="center"/>
          </w:tcPr>
          <w:p w14:paraId="066FAB21">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nil"/>
              <w:bottom w:val="nil"/>
            </w:tcBorders>
            <w:noWrap/>
            <w:vAlign w:val="center"/>
          </w:tcPr>
          <w:p w14:paraId="0504D1CE">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0.0117</w:t>
            </w:r>
          </w:p>
        </w:tc>
      </w:tr>
      <w:tr w14:paraId="4611D37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tcBorders>
              <w:top w:val="nil"/>
              <w:bottom w:val="nil"/>
            </w:tcBorders>
            <w:vAlign w:val="center"/>
          </w:tcPr>
          <w:p w14:paraId="605D49D8">
            <w:pPr>
              <w:widowControl/>
              <w:snapToGrid w:val="0"/>
              <w:jc w:val="left"/>
              <w:rPr>
                <w:rFonts w:ascii="Times New Roman" w:hAnsi="Times New Roman" w:eastAsia="宋体" w:cs="Times New Roman"/>
                <w:kern w:val="0"/>
                <w:sz w:val="18"/>
                <w:szCs w:val="18"/>
              </w:rPr>
            </w:pPr>
          </w:p>
        </w:tc>
        <w:tc>
          <w:tcPr>
            <w:tcW w:w="1276" w:type="dxa"/>
            <w:vMerge w:val="continue"/>
            <w:tcBorders>
              <w:top w:val="nil"/>
              <w:bottom w:val="nil"/>
            </w:tcBorders>
            <w:vAlign w:val="center"/>
          </w:tcPr>
          <w:p w14:paraId="75E6CE04">
            <w:pPr>
              <w:widowControl/>
              <w:snapToGrid w:val="0"/>
              <w:jc w:val="left"/>
              <w:rPr>
                <w:rFonts w:ascii="Times New Roman" w:hAnsi="Times New Roman" w:eastAsia="宋体" w:cs="Times New Roman"/>
                <w:kern w:val="0"/>
                <w:sz w:val="18"/>
                <w:szCs w:val="18"/>
              </w:rPr>
            </w:pPr>
          </w:p>
        </w:tc>
        <w:tc>
          <w:tcPr>
            <w:tcW w:w="3481" w:type="dxa"/>
            <w:tcBorders>
              <w:top w:val="nil"/>
              <w:bottom w:val="nil"/>
            </w:tcBorders>
            <w:noWrap/>
            <w:vAlign w:val="center"/>
          </w:tcPr>
          <w:p w14:paraId="327A5488">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Marketization index</w:t>
            </w:r>
          </w:p>
        </w:tc>
        <w:tc>
          <w:tcPr>
            <w:tcW w:w="1341" w:type="dxa"/>
            <w:tcBorders>
              <w:top w:val="nil"/>
              <w:bottom w:val="nil"/>
            </w:tcBorders>
            <w:noWrap/>
            <w:vAlign w:val="center"/>
          </w:tcPr>
          <w:p w14:paraId="1A09C099">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66" w:type="dxa"/>
            <w:tcBorders>
              <w:top w:val="nil"/>
              <w:bottom w:val="nil"/>
            </w:tcBorders>
            <w:noWrap/>
            <w:vAlign w:val="center"/>
          </w:tcPr>
          <w:p w14:paraId="032E633C">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nil"/>
              <w:bottom w:val="nil"/>
            </w:tcBorders>
            <w:noWrap/>
            <w:vAlign w:val="center"/>
          </w:tcPr>
          <w:p w14:paraId="25A1AA5F">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0.0187</w:t>
            </w:r>
          </w:p>
        </w:tc>
      </w:tr>
      <w:tr w14:paraId="3D123A3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tcBorders>
              <w:top w:val="nil"/>
              <w:bottom w:val="single" w:color="auto" w:sz="6" w:space="0"/>
            </w:tcBorders>
            <w:vAlign w:val="center"/>
          </w:tcPr>
          <w:p w14:paraId="34EB05C7">
            <w:pPr>
              <w:widowControl/>
              <w:snapToGrid w:val="0"/>
              <w:jc w:val="left"/>
              <w:rPr>
                <w:rFonts w:ascii="Times New Roman" w:hAnsi="Times New Roman" w:eastAsia="宋体" w:cs="Times New Roman"/>
                <w:kern w:val="0"/>
                <w:sz w:val="18"/>
                <w:szCs w:val="18"/>
              </w:rPr>
            </w:pPr>
          </w:p>
        </w:tc>
        <w:tc>
          <w:tcPr>
            <w:tcW w:w="1276" w:type="dxa"/>
            <w:vMerge w:val="continue"/>
            <w:tcBorders>
              <w:top w:val="nil"/>
              <w:bottom w:val="single" w:color="auto" w:sz="6" w:space="0"/>
            </w:tcBorders>
            <w:vAlign w:val="center"/>
          </w:tcPr>
          <w:p w14:paraId="374972F1">
            <w:pPr>
              <w:widowControl/>
              <w:snapToGrid w:val="0"/>
              <w:jc w:val="left"/>
              <w:rPr>
                <w:rFonts w:ascii="Times New Roman" w:hAnsi="Times New Roman" w:eastAsia="宋体" w:cs="Times New Roman"/>
                <w:kern w:val="0"/>
                <w:sz w:val="18"/>
                <w:szCs w:val="18"/>
              </w:rPr>
            </w:pPr>
          </w:p>
        </w:tc>
        <w:tc>
          <w:tcPr>
            <w:tcW w:w="3481" w:type="dxa"/>
            <w:tcBorders>
              <w:top w:val="nil"/>
              <w:bottom w:val="single" w:color="auto" w:sz="6" w:space="0"/>
            </w:tcBorders>
            <w:noWrap/>
            <w:vAlign w:val="center"/>
          </w:tcPr>
          <w:p w14:paraId="17CB649D">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Weighted R&amp;D personnel by agricultural output share</w:t>
            </w:r>
          </w:p>
        </w:tc>
        <w:tc>
          <w:tcPr>
            <w:tcW w:w="1341" w:type="dxa"/>
            <w:tcBorders>
              <w:top w:val="nil"/>
              <w:bottom w:val="single" w:color="auto" w:sz="6" w:space="0"/>
            </w:tcBorders>
            <w:noWrap/>
            <w:vAlign w:val="center"/>
          </w:tcPr>
          <w:p w14:paraId="70DFA570">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10,000persons</w:t>
            </w:r>
          </w:p>
        </w:tc>
        <w:tc>
          <w:tcPr>
            <w:tcW w:w="866" w:type="dxa"/>
            <w:tcBorders>
              <w:top w:val="nil"/>
              <w:bottom w:val="single" w:color="auto" w:sz="6" w:space="0"/>
            </w:tcBorders>
            <w:noWrap/>
            <w:vAlign w:val="center"/>
          </w:tcPr>
          <w:p w14:paraId="4EDAA1B0">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nil"/>
              <w:bottom w:val="single" w:color="auto" w:sz="6" w:space="0"/>
            </w:tcBorders>
            <w:noWrap/>
            <w:vAlign w:val="center"/>
          </w:tcPr>
          <w:p w14:paraId="3479BB46">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0.0863</w:t>
            </w:r>
          </w:p>
        </w:tc>
      </w:tr>
      <w:tr w14:paraId="268861E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restart"/>
            <w:tcBorders>
              <w:top w:val="single" w:color="auto" w:sz="6" w:space="0"/>
            </w:tcBorders>
            <w:noWrap/>
            <w:vAlign w:val="center"/>
          </w:tcPr>
          <w:p w14:paraId="7F4FCB8E">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Transformati</w:t>
            </w:r>
            <w:r>
              <w:rPr>
                <w:rFonts w:hint="eastAsia" w:ascii="Times New Roman" w:hAnsi="Times New Roman" w:eastAsia="宋体" w:cs="Times New Roman"/>
                <w:kern w:val="0"/>
                <w:sz w:val="18"/>
                <w:szCs w:val="18"/>
              </w:rPr>
              <w:t>ve</w:t>
            </w:r>
          </w:p>
          <w:p w14:paraId="334111A7">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innovation capacity</w:t>
            </w:r>
          </w:p>
        </w:tc>
        <w:tc>
          <w:tcPr>
            <w:tcW w:w="1276" w:type="dxa"/>
            <w:vMerge w:val="restart"/>
            <w:tcBorders>
              <w:top w:val="single" w:color="auto" w:sz="6" w:space="0"/>
            </w:tcBorders>
            <w:noWrap/>
            <w:vAlign w:val="center"/>
          </w:tcPr>
          <w:p w14:paraId="624F124D">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Digital </w:t>
            </w:r>
          </w:p>
          <w:p w14:paraId="0E7DFDA0">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transformation</w:t>
            </w:r>
          </w:p>
        </w:tc>
        <w:tc>
          <w:tcPr>
            <w:tcW w:w="3481" w:type="dxa"/>
            <w:tcBorders>
              <w:top w:val="single" w:color="auto" w:sz="6" w:space="0"/>
            </w:tcBorders>
            <w:noWrap/>
            <w:vAlign w:val="center"/>
          </w:tcPr>
          <w:p w14:paraId="12779AF3">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Rural broadband internet users </w:t>
            </w:r>
          </w:p>
          <w:p w14:paraId="11801C1F">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Total rural population</w:t>
            </w:r>
          </w:p>
        </w:tc>
        <w:tc>
          <w:tcPr>
            <w:tcW w:w="1341" w:type="dxa"/>
            <w:tcBorders>
              <w:top w:val="single" w:color="auto" w:sz="6" w:space="0"/>
            </w:tcBorders>
            <w:noWrap/>
            <w:vAlign w:val="center"/>
          </w:tcPr>
          <w:p w14:paraId="7AC37B71">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66" w:type="dxa"/>
            <w:tcBorders>
              <w:top w:val="single" w:color="auto" w:sz="6" w:space="0"/>
            </w:tcBorders>
            <w:noWrap/>
            <w:vAlign w:val="center"/>
          </w:tcPr>
          <w:p w14:paraId="3863A85F">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tcBorders>
              <w:top w:val="single" w:color="auto" w:sz="6" w:space="0"/>
            </w:tcBorders>
            <w:noWrap/>
            <w:vAlign w:val="center"/>
          </w:tcPr>
          <w:p w14:paraId="623F03F9">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0.0694</w:t>
            </w:r>
          </w:p>
        </w:tc>
      </w:tr>
      <w:tr w14:paraId="072BC9B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vAlign w:val="center"/>
          </w:tcPr>
          <w:p w14:paraId="59203A06">
            <w:pPr>
              <w:widowControl/>
              <w:snapToGrid w:val="0"/>
              <w:jc w:val="left"/>
              <w:rPr>
                <w:rFonts w:ascii="Times New Roman" w:hAnsi="Times New Roman" w:eastAsia="宋体" w:cs="Times New Roman"/>
                <w:kern w:val="0"/>
                <w:sz w:val="18"/>
                <w:szCs w:val="18"/>
              </w:rPr>
            </w:pPr>
          </w:p>
        </w:tc>
        <w:tc>
          <w:tcPr>
            <w:tcW w:w="1276" w:type="dxa"/>
            <w:vMerge w:val="continue"/>
            <w:vAlign w:val="center"/>
          </w:tcPr>
          <w:p w14:paraId="445EDBFC">
            <w:pPr>
              <w:widowControl/>
              <w:snapToGrid w:val="0"/>
              <w:jc w:val="left"/>
              <w:rPr>
                <w:rFonts w:ascii="Times New Roman" w:hAnsi="Times New Roman" w:eastAsia="宋体" w:cs="Times New Roman"/>
                <w:kern w:val="0"/>
                <w:sz w:val="18"/>
                <w:szCs w:val="18"/>
              </w:rPr>
            </w:pPr>
          </w:p>
        </w:tc>
        <w:tc>
          <w:tcPr>
            <w:tcW w:w="3481" w:type="dxa"/>
            <w:noWrap/>
            <w:vAlign w:val="center"/>
          </w:tcPr>
          <w:p w14:paraId="062A2A4B">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Rural postal routes length </w:t>
            </w:r>
          </w:p>
          <w:p w14:paraId="1AA52743">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Total rural population</w:t>
            </w:r>
          </w:p>
        </w:tc>
        <w:tc>
          <w:tcPr>
            <w:tcW w:w="1341" w:type="dxa"/>
            <w:noWrap/>
            <w:vAlign w:val="center"/>
          </w:tcPr>
          <w:p w14:paraId="4CDFE8AA">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km </w:t>
            </w:r>
          </w:p>
          <w:p w14:paraId="44EDABDB">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per persons</w:t>
            </w:r>
          </w:p>
        </w:tc>
        <w:tc>
          <w:tcPr>
            <w:tcW w:w="866" w:type="dxa"/>
            <w:noWrap/>
            <w:vAlign w:val="center"/>
          </w:tcPr>
          <w:p w14:paraId="6CE6D230">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noWrap/>
            <w:vAlign w:val="center"/>
          </w:tcPr>
          <w:p w14:paraId="6E1A6F46">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0.0305</w:t>
            </w:r>
          </w:p>
        </w:tc>
      </w:tr>
      <w:tr w14:paraId="7031238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vAlign w:val="center"/>
          </w:tcPr>
          <w:p w14:paraId="35E7347F">
            <w:pPr>
              <w:widowControl/>
              <w:snapToGrid w:val="0"/>
              <w:jc w:val="left"/>
              <w:rPr>
                <w:rFonts w:ascii="Times New Roman" w:hAnsi="Times New Roman" w:eastAsia="宋体" w:cs="Times New Roman"/>
                <w:kern w:val="0"/>
                <w:sz w:val="18"/>
                <w:szCs w:val="18"/>
              </w:rPr>
            </w:pPr>
          </w:p>
        </w:tc>
        <w:tc>
          <w:tcPr>
            <w:tcW w:w="1276" w:type="dxa"/>
            <w:vMerge w:val="continue"/>
            <w:vAlign w:val="center"/>
          </w:tcPr>
          <w:p w14:paraId="01D5C801">
            <w:pPr>
              <w:widowControl/>
              <w:snapToGrid w:val="0"/>
              <w:jc w:val="left"/>
              <w:rPr>
                <w:rFonts w:ascii="Times New Roman" w:hAnsi="Times New Roman" w:eastAsia="宋体" w:cs="Times New Roman"/>
                <w:kern w:val="0"/>
                <w:sz w:val="18"/>
                <w:szCs w:val="18"/>
              </w:rPr>
            </w:pPr>
          </w:p>
        </w:tc>
        <w:tc>
          <w:tcPr>
            <w:tcW w:w="3481" w:type="dxa"/>
            <w:noWrap/>
            <w:vAlign w:val="center"/>
          </w:tcPr>
          <w:p w14:paraId="01667601">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Digital financial inclusion index</w:t>
            </w:r>
          </w:p>
        </w:tc>
        <w:tc>
          <w:tcPr>
            <w:tcW w:w="1341" w:type="dxa"/>
            <w:noWrap/>
            <w:vAlign w:val="center"/>
          </w:tcPr>
          <w:p w14:paraId="52C9BB36">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66" w:type="dxa"/>
            <w:noWrap/>
            <w:vAlign w:val="center"/>
          </w:tcPr>
          <w:p w14:paraId="201FF5F5">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noWrap/>
            <w:vAlign w:val="center"/>
          </w:tcPr>
          <w:p w14:paraId="052B7B98">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0.0258</w:t>
            </w:r>
          </w:p>
        </w:tc>
      </w:tr>
      <w:tr w14:paraId="6D6C676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vAlign w:val="center"/>
          </w:tcPr>
          <w:p w14:paraId="282DADF1">
            <w:pPr>
              <w:widowControl/>
              <w:snapToGrid w:val="0"/>
              <w:jc w:val="left"/>
              <w:rPr>
                <w:rFonts w:ascii="Times New Roman" w:hAnsi="Times New Roman" w:eastAsia="宋体" w:cs="Times New Roman"/>
                <w:kern w:val="0"/>
                <w:sz w:val="18"/>
                <w:szCs w:val="18"/>
              </w:rPr>
            </w:pPr>
          </w:p>
        </w:tc>
        <w:tc>
          <w:tcPr>
            <w:tcW w:w="1276" w:type="dxa"/>
            <w:vMerge w:val="restart"/>
            <w:noWrap/>
            <w:vAlign w:val="center"/>
          </w:tcPr>
          <w:p w14:paraId="7B76C898">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Innovation </w:t>
            </w:r>
          </w:p>
          <w:p w14:paraId="16FA6B74">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output</w:t>
            </w:r>
          </w:p>
        </w:tc>
        <w:tc>
          <w:tcPr>
            <w:tcW w:w="3481" w:type="dxa"/>
            <w:noWrap/>
            <w:vAlign w:val="center"/>
          </w:tcPr>
          <w:p w14:paraId="1FF8FAEA">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Number of agricultural science and </w:t>
            </w:r>
          </w:p>
          <w:p w14:paraId="2DBE9835">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technology personnel per 10,000 rural persons</w:t>
            </w:r>
          </w:p>
        </w:tc>
        <w:tc>
          <w:tcPr>
            <w:tcW w:w="1341" w:type="dxa"/>
            <w:noWrap/>
            <w:vAlign w:val="center"/>
          </w:tcPr>
          <w:p w14:paraId="03E201C0">
            <w:pPr>
              <w:widowControl/>
              <w:snapToGrid w:val="0"/>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Persons</w:t>
            </w:r>
          </w:p>
        </w:tc>
        <w:tc>
          <w:tcPr>
            <w:tcW w:w="866" w:type="dxa"/>
            <w:noWrap/>
            <w:vAlign w:val="center"/>
          </w:tcPr>
          <w:p w14:paraId="1069C3B9">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noWrap/>
            <w:vAlign w:val="center"/>
          </w:tcPr>
          <w:p w14:paraId="448640B0">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0.0395</w:t>
            </w:r>
          </w:p>
        </w:tc>
      </w:tr>
      <w:tr w14:paraId="160BC31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vAlign w:val="center"/>
          </w:tcPr>
          <w:p w14:paraId="72C858A6">
            <w:pPr>
              <w:widowControl/>
              <w:snapToGrid w:val="0"/>
              <w:jc w:val="left"/>
              <w:rPr>
                <w:rFonts w:ascii="Times New Roman" w:hAnsi="Times New Roman" w:eastAsia="宋体" w:cs="Times New Roman"/>
                <w:kern w:val="0"/>
                <w:sz w:val="18"/>
                <w:szCs w:val="18"/>
              </w:rPr>
            </w:pPr>
          </w:p>
        </w:tc>
        <w:tc>
          <w:tcPr>
            <w:tcW w:w="1276" w:type="dxa"/>
            <w:vMerge w:val="continue"/>
            <w:vAlign w:val="center"/>
          </w:tcPr>
          <w:p w14:paraId="0AFDBDFC">
            <w:pPr>
              <w:widowControl/>
              <w:snapToGrid w:val="0"/>
              <w:jc w:val="left"/>
              <w:rPr>
                <w:rFonts w:ascii="Times New Roman" w:hAnsi="Times New Roman" w:eastAsia="宋体" w:cs="Times New Roman"/>
                <w:kern w:val="0"/>
                <w:sz w:val="18"/>
                <w:szCs w:val="18"/>
              </w:rPr>
            </w:pPr>
          </w:p>
        </w:tc>
        <w:tc>
          <w:tcPr>
            <w:tcW w:w="3481" w:type="dxa"/>
            <w:noWrap/>
            <w:vAlign w:val="center"/>
          </w:tcPr>
          <w:p w14:paraId="436E32C1">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Number of agricultural plant</w:t>
            </w:r>
            <w:r>
              <w:rPr>
                <w:rFonts w:hint="eastAsia" w:ascii="Times New Roman" w:hAnsi="Times New Roman" w:eastAsia="宋体" w:cs="Times New Roman"/>
                <w:kern w:val="0"/>
                <w:sz w:val="18"/>
                <w:szCs w:val="18"/>
              </w:rPr>
              <w:t>s</w:t>
            </w:r>
          </w:p>
          <w:p w14:paraId="759DF784">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variety rights applications</w:t>
            </w:r>
          </w:p>
        </w:tc>
        <w:tc>
          <w:tcPr>
            <w:tcW w:w="1341" w:type="dxa"/>
            <w:noWrap/>
            <w:vAlign w:val="center"/>
          </w:tcPr>
          <w:p w14:paraId="482D8840">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Items</w:t>
            </w:r>
          </w:p>
        </w:tc>
        <w:tc>
          <w:tcPr>
            <w:tcW w:w="866" w:type="dxa"/>
            <w:noWrap/>
            <w:vAlign w:val="center"/>
          </w:tcPr>
          <w:p w14:paraId="15D0DE7D">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noWrap/>
            <w:vAlign w:val="center"/>
          </w:tcPr>
          <w:p w14:paraId="08F40FB8">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0.1030</w:t>
            </w:r>
          </w:p>
        </w:tc>
      </w:tr>
      <w:tr w14:paraId="300C7F3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 w:hRule="atLeast"/>
        </w:trPr>
        <w:tc>
          <w:tcPr>
            <w:tcW w:w="1326" w:type="dxa"/>
            <w:vMerge w:val="continue"/>
            <w:vAlign w:val="center"/>
          </w:tcPr>
          <w:p w14:paraId="5C46FFA6">
            <w:pPr>
              <w:widowControl/>
              <w:snapToGrid w:val="0"/>
              <w:jc w:val="left"/>
              <w:rPr>
                <w:rFonts w:ascii="Times New Roman" w:hAnsi="Times New Roman" w:eastAsia="宋体" w:cs="Times New Roman"/>
                <w:kern w:val="0"/>
                <w:sz w:val="18"/>
                <w:szCs w:val="18"/>
              </w:rPr>
            </w:pPr>
          </w:p>
        </w:tc>
        <w:tc>
          <w:tcPr>
            <w:tcW w:w="1276" w:type="dxa"/>
            <w:vMerge w:val="continue"/>
            <w:vAlign w:val="center"/>
          </w:tcPr>
          <w:p w14:paraId="2ACA5E0B">
            <w:pPr>
              <w:widowControl/>
              <w:snapToGrid w:val="0"/>
              <w:jc w:val="left"/>
              <w:rPr>
                <w:rFonts w:ascii="Times New Roman" w:hAnsi="Times New Roman" w:eastAsia="宋体" w:cs="Times New Roman"/>
                <w:kern w:val="0"/>
                <w:sz w:val="18"/>
                <w:szCs w:val="18"/>
              </w:rPr>
            </w:pPr>
          </w:p>
        </w:tc>
        <w:tc>
          <w:tcPr>
            <w:tcW w:w="3481" w:type="dxa"/>
            <w:noWrap/>
            <w:vAlign w:val="center"/>
          </w:tcPr>
          <w:p w14:paraId="3086A490">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Agricultural electricity consumption</w:t>
            </w:r>
          </w:p>
        </w:tc>
        <w:tc>
          <w:tcPr>
            <w:tcW w:w="1341" w:type="dxa"/>
            <w:noWrap/>
            <w:vAlign w:val="center"/>
          </w:tcPr>
          <w:p w14:paraId="3863F69D">
            <w:pPr>
              <w:widowControl/>
              <w:snapToGrid w:val="0"/>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100 million</w:t>
            </w: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t>kWh</w:t>
            </w:r>
          </w:p>
        </w:tc>
        <w:tc>
          <w:tcPr>
            <w:tcW w:w="866" w:type="dxa"/>
            <w:noWrap/>
            <w:vAlign w:val="center"/>
          </w:tcPr>
          <w:p w14:paraId="6DF8B7C1">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746" w:type="dxa"/>
            <w:noWrap/>
            <w:vAlign w:val="center"/>
          </w:tcPr>
          <w:p w14:paraId="79AE5554">
            <w:pPr>
              <w:widowControl/>
              <w:snapToGrid w:val="0"/>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0.1432</w:t>
            </w:r>
          </w:p>
        </w:tc>
      </w:tr>
      <w:bookmarkEnd w:id="12"/>
    </w:tbl>
    <w:p w14:paraId="6A7912A8">
      <w:pPr>
        <w:rPr>
          <w:rFonts w:ascii="Times New Roman" w:hAnsi="Times New Roman" w:eastAsia="宋体"/>
          <w:sz w:val="24"/>
          <w:szCs w:val="24"/>
        </w:rPr>
      </w:pPr>
    </w:p>
    <w:p w14:paraId="41CDA148">
      <w:pPr>
        <w:spacing w:after="120" w:afterLines="50" w:line="480" w:lineRule="auto"/>
        <w:rPr>
          <w:rFonts w:hint="eastAsia" w:ascii="Times New Roman" w:hAnsi="Times New Roman" w:cs="Times New Roman"/>
          <w:b/>
          <w:bCs/>
          <w:szCs w:val="24"/>
        </w:rPr>
      </w:pPr>
      <w:bookmarkStart w:id="14" w:name="OLE_LINK14"/>
      <w:r>
        <w:rPr>
          <w:rFonts w:hint="eastAsia" w:ascii="Times New Roman" w:hAnsi="Times New Roman" w:cs="Times New Roman"/>
          <w:b/>
          <w:bCs/>
          <w:szCs w:val="24"/>
        </w:rPr>
        <w:t>3.1.2. Core Explanatory Variable</w:t>
      </w:r>
    </w:p>
    <w:p w14:paraId="08B1105D">
      <w:pPr>
        <w:spacing w:line="480" w:lineRule="auto"/>
        <w:ind w:firstLine="480"/>
        <w:rPr>
          <w:rFonts w:ascii="Times New Roman" w:hAnsi="Times New Roman" w:eastAsia="宋体"/>
          <w:sz w:val="24"/>
          <w:szCs w:val="24"/>
        </w:rPr>
      </w:pPr>
      <w:r>
        <w:rPr>
          <w:rFonts w:ascii="Times New Roman" w:hAnsi="Times New Roman" w:cs="Times New Roman"/>
          <w:szCs w:val="24"/>
        </w:rPr>
        <w:t>The core explanatory variable in this study is NTU. In 2014, China promulgated the National New-Type Urbanization Plan (2014</w:t>
      </w:r>
      <w:r>
        <w:rPr>
          <w:rFonts w:hint="eastAsia" w:ascii="Times New Roman" w:hAnsi="Times New Roman" w:cs="Times New Roman"/>
          <w:szCs w:val="24"/>
        </w:rPr>
        <w:t>-</w:t>
      </w:r>
      <w:r>
        <w:rPr>
          <w:rFonts w:ascii="Times New Roman" w:hAnsi="Times New Roman" w:cs="Times New Roman"/>
          <w:szCs w:val="24"/>
        </w:rPr>
        <w:t xml:space="preserve">2020), emphasizing a </w:t>
      </w:r>
      <w:r>
        <w:rPr>
          <w:rFonts w:hint="eastAsia" w:ascii="Times New Roman" w:hAnsi="Times New Roman" w:cs="Times New Roman"/>
          <w:szCs w:val="24"/>
        </w:rPr>
        <w:t xml:space="preserve">strategic </w:t>
      </w:r>
      <w:r>
        <w:rPr>
          <w:rFonts w:ascii="Times New Roman" w:hAnsi="Times New Roman" w:cs="Times New Roman"/>
          <w:szCs w:val="24"/>
        </w:rPr>
        <w:t xml:space="preserve">shift from land-centered </w:t>
      </w:r>
      <w:r>
        <w:rPr>
          <w:rFonts w:hint="eastAsia" w:ascii="Times New Roman" w:hAnsi="Times New Roman" w:cs="Times New Roman"/>
          <w:szCs w:val="24"/>
        </w:rPr>
        <w:t xml:space="preserve">expansion </w:t>
      </w:r>
      <w:r>
        <w:rPr>
          <w:rFonts w:ascii="Times New Roman" w:hAnsi="Times New Roman" w:cs="Times New Roman"/>
          <w:szCs w:val="24"/>
        </w:rPr>
        <w:t xml:space="preserve">to people-centered urbanization and integrating the concept of ecological civilization into urban development. </w:t>
      </w:r>
      <w:r>
        <w:rPr>
          <w:rFonts w:hint="eastAsia" w:ascii="Times New Roman" w:hAnsi="Times New Roman" w:cs="Times New Roman"/>
          <w:szCs w:val="24"/>
        </w:rPr>
        <w:t>Grounded in</w:t>
      </w:r>
      <w:r>
        <w:rPr>
          <w:rFonts w:ascii="Times New Roman" w:hAnsi="Times New Roman" w:cs="Times New Roman"/>
          <w:szCs w:val="24"/>
        </w:rPr>
        <w:t xml:space="preserve"> this</w:t>
      </w:r>
      <w:r>
        <w:rPr>
          <w:rFonts w:hint="eastAsia" w:ascii="Times New Roman" w:hAnsi="Times New Roman" w:cs="Times New Roman"/>
          <w:szCs w:val="24"/>
        </w:rPr>
        <w:t xml:space="preserve"> policy</w:t>
      </w:r>
      <w:r>
        <w:rPr>
          <w:rFonts w:ascii="Times New Roman" w:hAnsi="Times New Roman" w:cs="Times New Roman"/>
          <w:szCs w:val="24"/>
        </w:rPr>
        <w:t xml:space="preserve"> framework, a comprehensive evaluation system for NTU was constructed </w:t>
      </w:r>
      <w:r>
        <w:rPr>
          <w:rFonts w:hint="eastAsia" w:ascii="Times New Roman" w:hAnsi="Times New Roman" w:cs="Times New Roman"/>
          <w:szCs w:val="24"/>
        </w:rPr>
        <w:t>along</w:t>
      </w:r>
      <w:r>
        <w:rPr>
          <w:rFonts w:ascii="Times New Roman" w:hAnsi="Times New Roman" w:cs="Times New Roman"/>
          <w:szCs w:val="24"/>
        </w:rPr>
        <w:t xml:space="preserve"> five dimensions: population urbanization (POU), spatial urbanization (SPU), economic urbanization (ECU), social urbanization (SOU), and green urbanization (GRU), encompassing a total of 15 indicators</w:t>
      </w:r>
      <w:r>
        <w:rPr>
          <w:rFonts w:hint="eastAsia" w:ascii="Times New Roman" w:hAnsi="Times New Roman" w:cs="Times New Roman"/>
          <w:szCs w:val="24"/>
        </w:rPr>
        <w:t xml:space="preserve"> (</w:t>
      </w:r>
      <w:r>
        <w:rPr>
          <w:rFonts w:ascii="Times New Roman" w:hAnsi="Times New Roman" w:cs="Times New Roman"/>
          <w:color w:val="0070C0"/>
          <w:szCs w:val="24"/>
        </w:rPr>
        <w:fldChar w:fldCharType="begin"/>
      </w:r>
      <w:r>
        <w:rPr>
          <w:rFonts w:ascii="Times New Roman" w:hAnsi="Times New Roman" w:cs="Times New Roman"/>
          <w:color w:val="0070C0"/>
          <w:szCs w:val="24"/>
        </w:rPr>
        <w:instrText xml:space="preserve"> </w:instrText>
      </w:r>
      <w:r>
        <w:rPr>
          <w:rFonts w:hint="eastAsia" w:ascii="Times New Roman" w:hAnsi="Times New Roman" w:cs="Times New Roman"/>
          <w:color w:val="0070C0"/>
          <w:szCs w:val="24"/>
        </w:rPr>
        <w:instrText xml:space="preserve">REF _Ref216098761 \h</w:instrText>
      </w:r>
      <w:r>
        <w:rPr>
          <w:rFonts w:ascii="Times New Roman" w:hAnsi="Times New Roman" w:cs="Times New Roman"/>
          <w:color w:val="0070C0"/>
          <w:szCs w:val="24"/>
        </w:rPr>
        <w:instrText xml:space="preserve">  \* MERGEFORMAT </w:instrText>
      </w:r>
      <w:r>
        <w:rPr>
          <w:rFonts w:ascii="Times New Roman" w:hAnsi="Times New Roman" w:cs="Times New Roman"/>
          <w:color w:val="0070C0"/>
          <w:szCs w:val="24"/>
        </w:rPr>
        <w:fldChar w:fldCharType="separate"/>
      </w:r>
      <w:r>
        <w:rPr>
          <w:rFonts w:hint="eastAsia" w:ascii="Times New Roman" w:hAnsi="Times New Roman" w:cs="Times New Roman"/>
          <w:color w:val="0070C0"/>
          <w:szCs w:val="24"/>
        </w:rPr>
        <w:t xml:space="preserve">Table </w:t>
      </w:r>
      <w:r>
        <w:rPr>
          <w:rFonts w:ascii="Times New Roman" w:hAnsi="Times New Roman" w:cs="Times New Roman"/>
          <w:color w:val="0070C0"/>
          <w:szCs w:val="24"/>
        </w:rPr>
        <w:t>2</w:t>
      </w:r>
      <w:r>
        <w:rPr>
          <w:rFonts w:ascii="Times New Roman" w:hAnsi="Times New Roman" w:cs="Times New Roman"/>
          <w:color w:val="0070C0"/>
          <w:szCs w:val="24"/>
        </w:rPr>
        <w:fldChar w:fldCharType="end"/>
      </w:r>
      <w:r>
        <w:rPr>
          <w:rFonts w:hint="eastAsia" w:ascii="Times New Roman" w:hAnsi="Times New Roman" w:cs="Times New Roman"/>
          <w:szCs w:val="24"/>
        </w:rPr>
        <w:t>)</w:t>
      </w:r>
      <w:r>
        <w:rPr>
          <w:rFonts w:ascii="Times New Roman" w:hAnsi="Times New Roman" w:cs="Times New Roman"/>
          <w:szCs w:val="24"/>
        </w:rPr>
        <w:t>.</w:t>
      </w:r>
      <w:r>
        <w:rPr>
          <w:rFonts w:hint="eastAsia" w:ascii="Times New Roman" w:hAnsi="Times New Roman" w:cs="Times New Roman"/>
          <w:szCs w:val="24"/>
        </w:rPr>
        <w:t xml:space="preserve"> </w:t>
      </w:r>
      <w:r>
        <w:rPr>
          <w:rFonts w:ascii="Times New Roman" w:hAnsi="Times New Roman" w:cs="Times New Roman"/>
          <w:szCs w:val="24"/>
        </w:rPr>
        <w:t xml:space="preserve">Specifically, POU reflects the extent of population migration from rural to urban areas; SPU measures the degree of urban spatial expansion; ECU captures the level of urban economic development and industrial </w:t>
      </w:r>
      <w:r>
        <w:rPr>
          <w:rFonts w:hint="eastAsia" w:ascii="Times New Roman" w:hAnsi="Times New Roman" w:cs="Times New Roman"/>
          <w:szCs w:val="24"/>
        </w:rPr>
        <w:t>upgrading</w:t>
      </w:r>
      <w:r>
        <w:rPr>
          <w:rFonts w:ascii="Times New Roman" w:hAnsi="Times New Roman" w:cs="Times New Roman"/>
          <w:szCs w:val="24"/>
        </w:rPr>
        <w:t xml:space="preserve">; SOU </w:t>
      </w:r>
      <w:r>
        <w:rPr>
          <w:rFonts w:hint="eastAsia" w:ascii="Times New Roman" w:hAnsi="Times New Roman" w:cs="Times New Roman"/>
          <w:szCs w:val="24"/>
        </w:rPr>
        <w:t>assesses</w:t>
      </w:r>
      <w:r>
        <w:rPr>
          <w:rFonts w:ascii="Times New Roman" w:hAnsi="Times New Roman" w:cs="Times New Roman"/>
          <w:szCs w:val="24"/>
        </w:rPr>
        <w:t xml:space="preserve"> the coverage and accessibility of social public services; and GRU indicates the </w:t>
      </w:r>
      <w:r>
        <w:rPr>
          <w:rFonts w:hint="eastAsia" w:ascii="Times New Roman" w:hAnsi="Times New Roman" w:cs="Times New Roman"/>
          <w:szCs w:val="24"/>
        </w:rPr>
        <w:t>commitment to</w:t>
      </w:r>
      <w:r>
        <w:rPr>
          <w:rFonts w:ascii="Times New Roman" w:hAnsi="Times New Roman" w:cs="Times New Roman"/>
          <w:szCs w:val="24"/>
        </w:rPr>
        <w:t xml:space="preserve"> ecological </w:t>
      </w:r>
      <w:r>
        <w:rPr>
          <w:rFonts w:hint="eastAsia" w:ascii="Times New Roman" w:hAnsi="Times New Roman" w:cs="Times New Roman"/>
          <w:szCs w:val="24"/>
        </w:rPr>
        <w:t>conservation</w:t>
      </w:r>
      <w:r>
        <w:rPr>
          <w:rFonts w:ascii="Times New Roman" w:hAnsi="Times New Roman" w:cs="Times New Roman"/>
          <w:szCs w:val="24"/>
        </w:rPr>
        <w:t xml:space="preserve"> and environmental sustainability </w:t>
      </w:r>
      <w:r>
        <w:rPr>
          <w:rFonts w:hint="eastAsia" w:ascii="Times New Roman" w:hAnsi="Times New Roman" w:cs="Times New Roman"/>
          <w:szCs w:val="24"/>
        </w:rPr>
        <w:t xml:space="preserve">throughout </w:t>
      </w:r>
      <w:r>
        <w:rPr>
          <w:rFonts w:ascii="Times New Roman" w:hAnsi="Times New Roman" w:cs="Times New Roman"/>
          <w:szCs w:val="24"/>
        </w:rPr>
        <w:t xml:space="preserve">the urbanization process. Consistent with the </w:t>
      </w:r>
      <w:r>
        <w:rPr>
          <w:rFonts w:hint="eastAsia" w:ascii="Times New Roman" w:hAnsi="Times New Roman" w:cs="Times New Roman"/>
          <w:szCs w:val="24"/>
        </w:rPr>
        <w:t>measurement approach for</w:t>
      </w:r>
      <w:r>
        <w:rPr>
          <w:rFonts w:ascii="Times New Roman" w:hAnsi="Times New Roman" w:cs="Times New Roman"/>
          <w:szCs w:val="24"/>
        </w:rPr>
        <w:t xml:space="preserve"> AER, the entropy method was employed to determine</w:t>
      </w:r>
      <w:r>
        <w:rPr>
          <w:rFonts w:hint="eastAsia" w:ascii="Times New Roman" w:hAnsi="Times New Roman" w:cs="Times New Roman"/>
          <w:szCs w:val="24"/>
        </w:rPr>
        <w:t xml:space="preserve"> </w:t>
      </w:r>
      <w:r>
        <w:rPr>
          <w:rFonts w:ascii="Times New Roman" w:hAnsi="Times New Roman" w:cs="Times New Roman"/>
          <w:szCs w:val="24"/>
        </w:rPr>
        <w:t>the weights of each indicator,</w:t>
      </w:r>
      <w:r>
        <w:rPr>
          <w:rFonts w:hint="eastAsia" w:ascii="Times New Roman" w:hAnsi="Times New Roman" w:cs="Times New Roman"/>
          <w:szCs w:val="24"/>
        </w:rPr>
        <w:t xml:space="preserve"> </w:t>
      </w:r>
      <w:r>
        <w:rPr>
          <w:rFonts w:ascii="Times New Roman" w:hAnsi="Times New Roman" w:cs="Times New Roman"/>
          <w:szCs w:val="24"/>
        </w:rPr>
        <w:t xml:space="preserve">and a composite NTU index was calculated to reflect the overall development level of </w:t>
      </w:r>
      <w:r>
        <w:rPr>
          <w:rFonts w:hint="eastAsia" w:ascii="Times New Roman" w:hAnsi="Times New Roman" w:cs="Times New Roman"/>
          <w:szCs w:val="24"/>
          <w:lang w:val="en-US" w:eastAsia="zh-CN"/>
        </w:rPr>
        <w:t>NTU</w:t>
      </w:r>
      <w:r>
        <w:rPr>
          <w:rFonts w:ascii="Times New Roman" w:hAnsi="Times New Roman" w:cs="Times New Roman"/>
          <w:szCs w:val="24"/>
        </w:rPr>
        <w:t>.</w:t>
      </w:r>
      <w:bookmarkEnd w:id="14"/>
    </w:p>
    <w:p w14:paraId="70EED7BD">
      <w:pPr>
        <w:pStyle w:val="56"/>
        <w:spacing w:before="240"/>
        <w:rPr>
          <w:rFonts w:eastAsia="宋体"/>
          <w:sz w:val="24"/>
          <w:szCs w:val="24"/>
        </w:rPr>
      </w:pPr>
      <w:bookmarkStart w:id="15" w:name="_Ref216098761"/>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t>2</w:t>
      </w:r>
      <w:r>
        <w:rPr>
          <w:rFonts w:hint="eastAsia"/>
        </w:rPr>
        <w:fldChar w:fldCharType="end"/>
      </w:r>
      <w:bookmarkEnd w:id="15"/>
      <w:r>
        <w:rPr>
          <w:rFonts w:eastAsia="宋体"/>
          <w:sz w:val="24"/>
          <w:szCs w:val="24"/>
        </w:rPr>
        <w:t xml:space="preserve"> </w:t>
      </w:r>
    </w:p>
    <w:p w14:paraId="0BCD8506">
      <w:pPr>
        <w:spacing w:line="480" w:lineRule="auto"/>
        <w:jc w:val="left"/>
        <w:rPr>
          <w:rFonts w:ascii="Times New Roman" w:hAnsi="Times New Roman" w:eastAsia="宋体"/>
          <w:sz w:val="18"/>
          <w:szCs w:val="18"/>
        </w:rPr>
      </w:pPr>
      <w:r>
        <w:rPr>
          <w:rFonts w:ascii="Times New Roman" w:hAnsi="Times New Roman" w:eastAsia="宋体"/>
          <w:sz w:val="18"/>
          <w:szCs w:val="18"/>
        </w:rPr>
        <w:t xml:space="preserve">Evaluation index system </w:t>
      </w:r>
      <w:r>
        <w:rPr>
          <w:rFonts w:hint="eastAsia" w:ascii="Times New Roman" w:hAnsi="Times New Roman" w:eastAsia="宋体"/>
          <w:sz w:val="18"/>
          <w:szCs w:val="18"/>
        </w:rPr>
        <w:t>of NTU.</w:t>
      </w:r>
    </w:p>
    <w:tbl>
      <w:tblPr>
        <w:tblStyle w:val="19"/>
        <w:tblW w:w="8323" w:type="dxa"/>
        <w:tblInd w:w="0" w:type="dxa"/>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51"/>
        <w:gridCol w:w="3252"/>
        <w:gridCol w:w="1697"/>
        <w:gridCol w:w="973"/>
        <w:gridCol w:w="850"/>
      </w:tblGrid>
      <w:tr w14:paraId="788E9E64">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tcBorders>
              <w:top w:val="single" w:color="auto" w:sz="12" w:space="0"/>
              <w:bottom w:val="single" w:color="auto" w:sz="6" w:space="0"/>
            </w:tcBorders>
            <w:noWrap/>
            <w:vAlign w:val="center"/>
          </w:tcPr>
          <w:p w14:paraId="6674E45C">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Primary Index</w:t>
            </w:r>
          </w:p>
        </w:tc>
        <w:tc>
          <w:tcPr>
            <w:tcW w:w="3252" w:type="dxa"/>
            <w:tcBorders>
              <w:top w:val="single" w:color="auto" w:sz="12" w:space="0"/>
              <w:bottom w:val="single" w:color="auto" w:sz="6" w:space="0"/>
            </w:tcBorders>
            <w:noWrap/>
            <w:vAlign w:val="center"/>
          </w:tcPr>
          <w:p w14:paraId="2D698B91">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Secondary Index</w:t>
            </w:r>
          </w:p>
        </w:tc>
        <w:tc>
          <w:tcPr>
            <w:tcW w:w="1697" w:type="dxa"/>
            <w:tcBorders>
              <w:top w:val="single" w:color="auto" w:sz="12" w:space="0"/>
              <w:bottom w:val="single" w:color="auto" w:sz="6" w:space="0"/>
            </w:tcBorders>
            <w:noWrap/>
            <w:vAlign w:val="center"/>
          </w:tcPr>
          <w:p w14:paraId="451C13F7">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Unit</w:t>
            </w:r>
          </w:p>
        </w:tc>
        <w:tc>
          <w:tcPr>
            <w:tcW w:w="973" w:type="dxa"/>
            <w:tcBorders>
              <w:top w:val="single" w:color="auto" w:sz="12" w:space="0"/>
              <w:bottom w:val="single" w:color="auto" w:sz="6" w:space="0"/>
            </w:tcBorders>
            <w:noWrap/>
            <w:vAlign w:val="center"/>
          </w:tcPr>
          <w:p w14:paraId="6136BFD9">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Attribute</w:t>
            </w:r>
          </w:p>
        </w:tc>
        <w:tc>
          <w:tcPr>
            <w:tcW w:w="850" w:type="dxa"/>
            <w:tcBorders>
              <w:top w:val="single" w:color="auto" w:sz="12" w:space="0"/>
              <w:bottom w:val="single" w:color="auto" w:sz="6" w:space="0"/>
            </w:tcBorders>
            <w:noWrap/>
            <w:vAlign w:val="center"/>
          </w:tcPr>
          <w:p w14:paraId="0C6ACEDD">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Weight</w:t>
            </w:r>
          </w:p>
        </w:tc>
      </w:tr>
      <w:tr w14:paraId="2624696F">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restart"/>
            <w:tcBorders>
              <w:top w:val="single" w:color="auto" w:sz="6" w:space="0"/>
              <w:bottom w:val="nil"/>
            </w:tcBorders>
            <w:noWrap/>
            <w:vAlign w:val="center"/>
          </w:tcPr>
          <w:p w14:paraId="125F65AE">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Population </w:t>
            </w:r>
          </w:p>
          <w:p w14:paraId="70CC87B8">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urbanization</w:t>
            </w:r>
          </w:p>
        </w:tc>
        <w:tc>
          <w:tcPr>
            <w:tcW w:w="3252" w:type="dxa"/>
            <w:tcBorders>
              <w:top w:val="single" w:color="auto" w:sz="6" w:space="0"/>
              <w:bottom w:val="nil"/>
            </w:tcBorders>
            <w:noWrap/>
            <w:vAlign w:val="center"/>
          </w:tcPr>
          <w:p w14:paraId="717F90EE">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Proportion of employment in </w:t>
            </w:r>
          </w:p>
          <w:p w14:paraId="45E7FAAA">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secondary and tertiary industries</w:t>
            </w:r>
          </w:p>
        </w:tc>
        <w:tc>
          <w:tcPr>
            <w:tcW w:w="1697" w:type="dxa"/>
            <w:tcBorders>
              <w:top w:val="single" w:color="auto" w:sz="6" w:space="0"/>
              <w:bottom w:val="nil"/>
            </w:tcBorders>
            <w:noWrap/>
            <w:vAlign w:val="center"/>
          </w:tcPr>
          <w:p w14:paraId="6F881D81">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973" w:type="dxa"/>
            <w:tcBorders>
              <w:top w:val="single" w:color="auto" w:sz="6" w:space="0"/>
              <w:bottom w:val="nil"/>
            </w:tcBorders>
            <w:noWrap/>
            <w:vAlign w:val="center"/>
          </w:tcPr>
          <w:p w14:paraId="53E0BE38">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single" w:color="auto" w:sz="6" w:space="0"/>
              <w:bottom w:val="nil"/>
            </w:tcBorders>
            <w:noWrap/>
            <w:vAlign w:val="center"/>
          </w:tcPr>
          <w:p w14:paraId="6FEE5AF5">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0.0335</w:t>
            </w:r>
          </w:p>
        </w:tc>
      </w:tr>
      <w:tr w14:paraId="2989010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continue"/>
            <w:tcBorders>
              <w:top w:val="nil"/>
              <w:bottom w:val="nil"/>
            </w:tcBorders>
            <w:vAlign w:val="center"/>
          </w:tcPr>
          <w:p w14:paraId="5DED87B0">
            <w:pPr>
              <w:widowControl/>
              <w:jc w:val="left"/>
              <w:rPr>
                <w:rFonts w:ascii="Times New Roman" w:hAnsi="Times New Roman" w:eastAsia="宋体" w:cs="Times New Roman"/>
                <w:kern w:val="0"/>
                <w:sz w:val="18"/>
                <w:szCs w:val="18"/>
              </w:rPr>
            </w:pPr>
          </w:p>
        </w:tc>
        <w:tc>
          <w:tcPr>
            <w:tcW w:w="3252" w:type="dxa"/>
            <w:tcBorders>
              <w:top w:val="nil"/>
              <w:bottom w:val="nil"/>
            </w:tcBorders>
            <w:noWrap/>
            <w:vAlign w:val="center"/>
          </w:tcPr>
          <w:p w14:paraId="7C7B45E6">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Urban population </w:t>
            </w:r>
          </w:p>
          <w:p w14:paraId="20357607">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Year-end permanent population</w:t>
            </w:r>
          </w:p>
        </w:tc>
        <w:tc>
          <w:tcPr>
            <w:tcW w:w="1697" w:type="dxa"/>
            <w:tcBorders>
              <w:top w:val="nil"/>
              <w:bottom w:val="nil"/>
            </w:tcBorders>
            <w:noWrap/>
            <w:vAlign w:val="center"/>
          </w:tcPr>
          <w:p w14:paraId="3DFDAC8E">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973" w:type="dxa"/>
            <w:tcBorders>
              <w:top w:val="nil"/>
              <w:bottom w:val="nil"/>
            </w:tcBorders>
            <w:noWrap/>
            <w:vAlign w:val="center"/>
          </w:tcPr>
          <w:p w14:paraId="47D19E66">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nil"/>
              <w:bottom w:val="nil"/>
            </w:tcBorders>
            <w:noWrap/>
            <w:vAlign w:val="center"/>
          </w:tcPr>
          <w:p w14:paraId="4FB68E96">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0.0392</w:t>
            </w:r>
          </w:p>
        </w:tc>
      </w:tr>
      <w:tr w14:paraId="204F695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continue"/>
            <w:tcBorders>
              <w:top w:val="nil"/>
              <w:bottom w:val="single" w:color="auto" w:sz="6" w:space="0"/>
            </w:tcBorders>
            <w:vAlign w:val="center"/>
          </w:tcPr>
          <w:p w14:paraId="07F9895E">
            <w:pPr>
              <w:widowControl/>
              <w:jc w:val="left"/>
              <w:rPr>
                <w:rFonts w:ascii="Times New Roman" w:hAnsi="Times New Roman" w:eastAsia="宋体" w:cs="Times New Roman"/>
                <w:kern w:val="0"/>
                <w:sz w:val="18"/>
                <w:szCs w:val="18"/>
              </w:rPr>
            </w:pPr>
          </w:p>
        </w:tc>
        <w:tc>
          <w:tcPr>
            <w:tcW w:w="3252" w:type="dxa"/>
            <w:tcBorders>
              <w:top w:val="nil"/>
              <w:bottom w:val="single" w:color="auto" w:sz="6" w:space="0"/>
            </w:tcBorders>
            <w:noWrap/>
            <w:vAlign w:val="center"/>
          </w:tcPr>
          <w:p w14:paraId="0B179F7D">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Urban population density</w:t>
            </w:r>
          </w:p>
        </w:tc>
        <w:tc>
          <w:tcPr>
            <w:tcW w:w="1697" w:type="dxa"/>
            <w:tcBorders>
              <w:top w:val="nil"/>
              <w:bottom w:val="single" w:color="auto" w:sz="6" w:space="0"/>
            </w:tcBorders>
            <w:noWrap/>
            <w:vAlign w:val="center"/>
          </w:tcPr>
          <w:p w14:paraId="244E24B3">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Persons per km²</w:t>
            </w:r>
          </w:p>
        </w:tc>
        <w:tc>
          <w:tcPr>
            <w:tcW w:w="973" w:type="dxa"/>
            <w:tcBorders>
              <w:top w:val="nil"/>
              <w:bottom w:val="single" w:color="auto" w:sz="6" w:space="0"/>
            </w:tcBorders>
            <w:noWrap/>
            <w:vAlign w:val="center"/>
          </w:tcPr>
          <w:p w14:paraId="64E2B9E5">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nil"/>
              <w:bottom w:val="single" w:color="auto" w:sz="6" w:space="0"/>
            </w:tcBorders>
            <w:noWrap/>
            <w:vAlign w:val="center"/>
          </w:tcPr>
          <w:p w14:paraId="69028258">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0.0624</w:t>
            </w:r>
          </w:p>
        </w:tc>
      </w:tr>
      <w:tr w14:paraId="6A8B08DC">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restart"/>
            <w:tcBorders>
              <w:top w:val="single" w:color="auto" w:sz="6" w:space="0"/>
              <w:bottom w:val="nil"/>
            </w:tcBorders>
            <w:noWrap/>
            <w:vAlign w:val="center"/>
          </w:tcPr>
          <w:p w14:paraId="21894D15">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Spatial </w:t>
            </w:r>
          </w:p>
          <w:p w14:paraId="2B5ED8A0">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urbanization</w:t>
            </w:r>
          </w:p>
        </w:tc>
        <w:tc>
          <w:tcPr>
            <w:tcW w:w="3252" w:type="dxa"/>
            <w:tcBorders>
              <w:top w:val="single" w:color="auto" w:sz="6" w:space="0"/>
              <w:bottom w:val="nil"/>
            </w:tcBorders>
            <w:noWrap/>
            <w:vAlign w:val="center"/>
          </w:tcPr>
          <w:p w14:paraId="70A93C3A">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Built-up area</w:t>
            </w:r>
          </w:p>
        </w:tc>
        <w:tc>
          <w:tcPr>
            <w:tcW w:w="1697" w:type="dxa"/>
            <w:tcBorders>
              <w:top w:val="single" w:color="auto" w:sz="6" w:space="0"/>
              <w:bottom w:val="nil"/>
            </w:tcBorders>
            <w:noWrap/>
            <w:vAlign w:val="center"/>
          </w:tcPr>
          <w:p w14:paraId="27786F90">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km²</w:t>
            </w:r>
          </w:p>
        </w:tc>
        <w:tc>
          <w:tcPr>
            <w:tcW w:w="973" w:type="dxa"/>
            <w:tcBorders>
              <w:top w:val="single" w:color="auto" w:sz="6" w:space="0"/>
              <w:bottom w:val="nil"/>
            </w:tcBorders>
            <w:noWrap/>
            <w:vAlign w:val="center"/>
          </w:tcPr>
          <w:p w14:paraId="525CAFC4">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single" w:color="auto" w:sz="6" w:space="0"/>
              <w:bottom w:val="nil"/>
            </w:tcBorders>
            <w:noWrap/>
            <w:vAlign w:val="center"/>
          </w:tcPr>
          <w:p w14:paraId="48CFE4D8">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0.0882</w:t>
            </w:r>
          </w:p>
        </w:tc>
      </w:tr>
      <w:tr w14:paraId="4C04352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continue"/>
            <w:tcBorders>
              <w:top w:val="nil"/>
              <w:bottom w:val="single" w:color="auto" w:sz="6" w:space="0"/>
            </w:tcBorders>
            <w:vAlign w:val="center"/>
          </w:tcPr>
          <w:p w14:paraId="72DFCA51">
            <w:pPr>
              <w:widowControl/>
              <w:jc w:val="left"/>
              <w:rPr>
                <w:rFonts w:ascii="Times New Roman" w:hAnsi="Times New Roman" w:eastAsia="宋体" w:cs="Times New Roman"/>
                <w:kern w:val="0"/>
                <w:sz w:val="18"/>
                <w:szCs w:val="18"/>
              </w:rPr>
            </w:pPr>
          </w:p>
        </w:tc>
        <w:tc>
          <w:tcPr>
            <w:tcW w:w="3252" w:type="dxa"/>
            <w:tcBorders>
              <w:top w:val="nil"/>
              <w:bottom w:val="single" w:color="auto" w:sz="6" w:space="0"/>
            </w:tcBorders>
            <w:noWrap/>
            <w:vAlign w:val="center"/>
          </w:tcPr>
          <w:p w14:paraId="0E6182EF">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Per capita urban road area</w:t>
            </w:r>
          </w:p>
        </w:tc>
        <w:tc>
          <w:tcPr>
            <w:tcW w:w="1697" w:type="dxa"/>
            <w:tcBorders>
              <w:top w:val="nil"/>
              <w:bottom w:val="single" w:color="auto" w:sz="6" w:space="0"/>
            </w:tcBorders>
            <w:noWrap/>
            <w:vAlign w:val="center"/>
          </w:tcPr>
          <w:p w14:paraId="4DE8C7E4">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m²</w:t>
            </w:r>
          </w:p>
        </w:tc>
        <w:tc>
          <w:tcPr>
            <w:tcW w:w="973" w:type="dxa"/>
            <w:tcBorders>
              <w:top w:val="nil"/>
              <w:bottom w:val="single" w:color="auto" w:sz="6" w:space="0"/>
            </w:tcBorders>
            <w:noWrap/>
            <w:vAlign w:val="center"/>
          </w:tcPr>
          <w:p w14:paraId="76495116">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nil"/>
              <w:bottom w:val="single" w:color="auto" w:sz="6" w:space="0"/>
            </w:tcBorders>
            <w:noWrap/>
            <w:vAlign w:val="center"/>
          </w:tcPr>
          <w:p w14:paraId="75B8C255">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0.0326</w:t>
            </w:r>
          </w:p>
        </w:tc>
      </w:tr>
      <w:tr w14:paraId="54B94E2E">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restart"/>
            <w:tcBorders>
              <w:top w:val="single" w:color="auto" w:sz="6" w:space="0"/>
              <w:bottom w:val="nil"/>
            </w:tcBorders>
            <w:noWrap/>
            <w:vAlign w:val="center"/>
          </w:tcPr>
          <w:p w14:paraId="587735BD">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Economic </w:t>
            </w:r>
          </w:p>
          <w:p w14:paraId="70556C13">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urbanization</w:t>
            </w:r>
          </w:p>
        </w:tc>
        <w:tc>
          <w:tcPr>
            <w:tcW w:w="3252" w:type="dxa"/>
            <w:tcBorders>
              <w:top w:val="single" w:color="auto" w:sz="6" w:space="0"/>
              <w:bottom w:val="nil"/>
            </w:tcBorders>
            <w:noWrap/>
            <w:vAlign w:val="center"/>
          </w:tcPr>
          <w:p w14:paraId="181FFBA2">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Per capita disposable income </w:t>
            </w:r>
          </w:p>
          <w:p w14:paraId="1E052A87">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of urban residents</w:t>
            </w:r>
          </w:p>
        </w:tc>
        <w:tc>
          <w:tcPr>
            <w:tcW w:w="1697" w:type="dxa"/>
            <w:tcBorders>
              <w:top w:val="single" w:color="auto" w:sz="6" w:space="0"/>
              <w:bottom w:val="nil"/>
            </w:tcBorders>
            <w:noWrap/>
            <w:vAlign w:val="center"/>
          </w:tcPr>
          <w:p w14:paraId="473D4B1E">
            <w:pPr>
              <w:widowControl/>
              <w:jc w:val="lef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CNY</w:t>
            </w:r>
          </w:p>
        </w:tc>
        <w:tc>
          <w:tcPr>
            <w:tcW w:w="973" w:type="dxa"/>
            <w:tcBorders>
              <w:top w:val="single" w:color="auto" w:sz="6" w:space="0"/>
              <w:bottom w:val="nil"/>
            </w:tcBorders>
            <w:noWrap/>
            <w:vAlign w:val="center"/>
          </w:tcPr>
          <w:p w14:paraId="1577A215">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single" w:color="auto" w:sz="6" w:space="0"/>
              <w:bottom w:val="nil"/>
            </w:tcBorders>
            <w:noWrap/>
            <w:vAlign w:val="center"/>
          </w:tcPr>
          <w:p w14:paraId="2991AD7D">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0.0812</w:t>
            </w:r>
          </w:p>
        </w:tc>
      </w:tr>
      <w:tr w14:paraId="67F6DD9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continue"/>
            <w:tcBorders>
              <w:top w:val="nil"/>
              <w:bottom w:val="nil"/>
            </w:tcBorders>
            <w:vAlign w:val="center"/>
          </w:tcPr>
          <w:p w14:paraId="63F91645">
            <w:pPr>
              <w:widowControl/>
              <w:jc w:val="left"/>
              <w:rPr>
                <w:rFonts w:ascii="Times New Roman" w:hAnsi="Times New Roman" w:eastAsia="宋体" w:cs="Times New Roman"/>
                <w:kern w:val="0"/>
                <w:sz w:val="18"/>
                <w:szCs w:val="18"/>
              </w:rPr>
            </w:pPr>
          </w:p>
        </w:tc>
        <w:tc>
          <w:tcPr>
            <w:tcW w:w="3252" w:type="dxa"/>
            <w:tcBorders>
              <w:top w:val="nil"/>
              <w:bottom w:val="nil"/>
            </w:tcBorders>
            <w:noWrap/>
            <w:vAlign w:val="center"/>
          </w:tcPr>
          <w:p w14:paraId="65D853EB">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Added value of the </w:t>
            </w:r>
          </w:p>
          <w:p w14:paraId="37184C11">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tertiary industry / GDP</w:t>
            </w:r>
          </w:p>
        </w:tc>
        <w:tc>
          <w:tcPr>
            <w:tcW w:w="1697" w:type="dxa"/>
            <w:tcBorders>
              <w:top w:val="nil"/>
              <w:bottom w:val="nil"/>
            </w:tcBorders>
            <w:noWrap/>
            <w:vAlign w:val="center"/>
          </w:tcPr>
          <w:p w14:paraId="3A2AFF05">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973" w:type="dxa"/>
            <w:tcBorders>
              <w:top w:val="nil"/>
              <w:bottom w:val="nil"/>
            </w:tcBorders>
            <w:noWrap/>
            <w:vAlign w:val="center"/>
          </w:tcPr>
          <w:p w14:paraId="1E862A4D">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nil"/>
              <w:bottom w:val="nil"/>
            </w:tcBorders>
            <w:noWrap/>
            <w:vAlign w:val="center"/>
          </w:tcPr>
          <w:p w14:paraId="1C118A64">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0.0475</w:t>
            </w:r>
          </w:p>
        </w:tc>
      </w:tr>
      <w:tr w14:paraId="798B023A">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continue"/>
            <w:tcBorders>
              <w:top w:val="nil"/>
              <w:bottom w:val="nil"/>
            </w:tcBorders>
            <w:vAlign w:val="center"/>
          </w:tcPr>
          <w:p w14:paraId="049EE935">
            <w:pPr>
              <w:widowControl/>
              <w:jc w:val="left"/>
              <w:rPr>
                <w:rFonts w:ascii="Times New Roman" w:hAnsi="Times New Roman" w:eastAsia="宋体" w:cs="Times New Roman"/>
                <w:kern w:val="0"/>
                <w:sz w:val="18"/>
                <w:szCs w:val="18"/>
              </w:rPr>
            </w:pPr>
          </w:p>
        </w:tc>
        <w:tc>
          <w:tcPr>
            <w:tcW w:w="3252" w:type="dxa"/>
            <w:tcBorders>
              <w:top w:val="nil"/>
              <w:bottom w:val="nil"/>
            </w:tcBorders>
            <w:noWrap/>
            <w:vAlign w:val="center"/>
          </w:tcPr>
          <w:p w14:paraId="5F654E73">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Local government general budget expenditure </w:t>
            </w:r>
          </w:p>
          <w:p w14:paraId="4C7F7475">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Year-end permanent population</w:t>
            </w:r>
          </w:p>
        </w:tc>
        <w:tc>
          <w:tcPr>
            <w:tcW w:w="1697" w:type="dxa"/>
            <w:tcBorders>
              <w:top w:val="nil"/>
              <w:bottom w:val="nil"/>
            </w:tcBorders>
            <w:noWrap/>
            <w:vAlign w:val="center"/>
          </w:tcPr>
          <w:p w14:paraId="50A38ECF">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100 million CNY per 10,000 persons</w:t>
            </w:r>
          </w:p>
        </w:tc>
        <w:tc>
          <w:tcPr>
            <w:tcW w:w="973" w:type="dxa"/>
            <w:tcBorders>
              <w:top w:val="nil"/>
              <w:bottom w:val="nil"/>
            </w:tcBorders>
            <w:noWrap/>
            <w:vAlign w:val="center"/>
          </w:tcPr>
          <w:p w14:paraId="2DAA8107">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nil"/>
              <w:bottom w:val="nil"/>
            </w:tcBorders>
            <w:noWrap/>
            <w:vAlign w:val="center"/>
          </w:tcPr>
          <w:p w14:paraId="0124BD9E">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0.0777</w:t>
            </w:r>
          </w:p>
        </w:tc>
      </w:tr>
      <w:tr w14:paraId="2FA97638">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continue"/>
            <w:tcBorders>
              <w:top w:val="nil"/>
              <w:bottom w:val="single" w:color="auto" w:sz="6" w:space="0"/>
            </w:tcBorders>
            <w:vAlign w:val="center"/>
          </w:tcPr>
          <w:p w14:paraId="64E1753D">
            <w:pPr>
              <w:widowControl/>
              <w:jc w:val="left"/>
              <w:rPr>
                <w:rFonts w:ascii="Times New Roman" w:hAnsi="Times New Roman" w:eastAsia="宋体" w:cs="Times New Roman"/>
                <w:kern w:val="0"/>
                <w:sz w:val="18"/>
                <w:szCs w:val="18"/>
              </w:rPr>
            </w:pPr>
          </w:p>
        </w:tc>
        <w:tc>
          <w:tcPr>
            <w:tcW w:w="3252" w:type="dxa"/>
            <w:tcBorders>
              <w:top w:val="nil"/>
              <w:bottom w:val="single" w:color="auto" w:sz="6" w:space="0"/>
            </w:tcBorders>
            <w:noWrap/>
            <w:vAlign w:val="center"/>
          </w:tcPr>
          <w:p w14:paraId="385B8871">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Total social retail sales </w:t>
            </w:r>
          </w:p>
          <w:p w14:paraId="2A8E2461">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Year-end permanent population</w:t>
            </w:r>
          </w:p>
        </w:tc>
        <w:tc>
          <w:tcPr>
            <w:tcW w:w="1697" w:type="dxa"/>
            <w:tcBorders>
              <w:top w:val="nil"/>
              <w:bottom w:val="single" w:color="auto" w:sz="6" w:space="0"/>
            </w:tcBorders>
            <w:noWrap/>
            <w:vAlign w:val="center"/>
          </w:tcPr>
          <w:p w14:paraId="2A166219">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100 million CNY per 10,000 persons</w:t>
            </w:r>
          </w:p>
        </w:tc>
        <w:tc>
          <w:tcPr>
            <w:tcW w:w="973" w:type="dxa"/>
            <w:tcBorders>
              <w:top w:val="nil"/>
              <w:bottom w:val="single" w:color="auto" w:sz="6" w:space="0"/>
            </w:tcBorders>
            <w:noWrap/>
            <w:vAlign w:val="center"/>
          </w:tcPr>
          <w:p w14:paraId="37BE3026">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nil"/>
              <w:bottom w:val="single" w:color="auto" w:sz="6" w:space="0"/>
            </w:tcBorders>
            <w:noWrap/>
            <w:vAlign w:val="center"/>
          </w:tcPr>
          <w:p w14:paraId="1649FE32">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0.0805</w:t>
            </w:r>
          </w:p>
        </w:tc>
      </w:tr>
      <w:tr w14:paraId="09B05469">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restart"/>
            <w:tcBorders>
              <w:top w:val="single" w:color="auto" w:sz="6" w:space="0"/>
              <w:bottom w:val="nil"/>
            </w:tcBorders>
            <w:noWrap/>
            <w:vAlign w:val="center"/>
          </w:tcPr>
          <w:p w14:paraId="132902B6">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Social </w:t>
            </w:r>
          </w:p>
          <w:p w14:paraId="2759B4B8">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urbanization</w:t>
            </w:r>
          </w:p>
        </w:tc>
        <w:tc>
          <w:tcPr>
            <w:tcW w:w="3252" w:type="dxa"/>
            <w:tcBorders>
              <w:top w:val="single" w:color="auto" w:sz="6" w:space="0"/>
              <w:bottom w:val="nil"/>
            </w:tcBorders>
            <w:noWrap/>
            <w:vAlign w:val="center"/>
          </w:tcPr>
          <w:p w14:paraId="3776BDF4">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Number of students enrolled in higher education </w:t>
            </w:r>
          </w:p>
          <w:p w14:paraId="6161FB93">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per 100,000 people</w:t>
            </w:r>
          </w:p>
        </w:tc>
        <w:tc>
          <w:tcPr>
            <w:tcW w:w="1697" w:type="dxa"/>
            <w:tcBorders>
              <w:top w:val="single" w:color="auto" w:sz="6" w:space="0"/>
              <w:bottom w:val="nil"/>
            </w:tcBorders>
            <w:noWrap/>
            <w:vAlign w:val="center"/>
          </w:tcPr>
          <w:p w14:paraId="06FD309D">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Persons</w:t>
            </w:r>
          </w:p>
        </w:tc>
        <w:tc>
          <w:tcPr>
            <w:tcW w:w="973" w:type="dxa"/>
            <w:tcBorders>
              <w:top w:val="single" w:color="auto" w:sz="6" w:space="0"/>
              <w:bottom w:val="nil"/>
            </w:tcBorders>
            <w:noWrap/>
            <w:vAlign w:val="center"/>
          </w:tcPr>
          <w:p w14:paraId="3A3EB454">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single" w:color="auto" w:sz="6" w:space="0"/>
              <w:bottom w:val="nil"/>
            </w:tcBorders>
            <w:noWrap/>
            <w:vAlign w:val="center"/>
          </w:tcPr>
          <w:p w14:paraId="1298C453">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0.0439</w:t>
            </w:r>
          </w:p>
        </w:tc>
      </w:tr>
      <w:tr w14:paraId="0B673755">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continue"/>
            <w:tcBorders>
              <w:top w:val="nil"/>
              <w:bottom w:val="nil"/>
            </w:tcBorders>
            <w:vAlign w:val="center"/>
          </w:tcPr>
          <w:p w14:paraId="4CA2F2B8">
            <w:pPr>
              <w:widowControl/>
              <w:jc w:val="left"/>
              <w:rPr>
                <w:rFonts w:ascii="Times New Roman" w:hAnsi="Times New Roman" w:eastAsia="宋体" w:cs="Times New Roman"/>
                <w:kern w:val="0"/>
                <w:sz w:val="18"/>
                <w:szCs w:val="18"/>
              </w:rPr>
            </w:pPr>
          </w:p>
        </w:tc>
        <w:tc>
          <w:tcPr>
            <w:tcW w:w="3252" w:type="dxa"/>
            <w:tcBorders>
              <w:top w:val="nil"/>
              <w:bottom w:val="nil"/>
            </w:tcBorders>
            <w:noWrap/>
            <w:vAlign w:val="center"/>
          </w:tcPr>
          <w:p w14:paraId="22466DFD">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Number of beds in</w:t>
            </w:r>
            <w:r>
              <w:rPr>
                <w:rFonts w:hint="eastAsia" w:ascii="Times New Roman" w:hAnsi="Times New Roman" w:eastAsia="宋体" w:cs="Times New Roman"/>
                <w:kern w:val="0"/>
                <w:sz w:val="18"/>
                <w:szCs w:val="18"/>
              </w:rPr>
              <w:t xml:space="preserve"> </w:t>
            </w:r>
            <w:r>
              <w:rPr>
                <w:rFonts w:ascii="Times New Roman" w:hAnsi="Times New Roman" w:eastAsia="宋体" w:cs="Times New Roman"/>
                <w:kern w:val="0"/>
                <w:sz w:val="18"/>
                <w:szCs w:val="18"/>
              </w:rPr>
              <w:t>medical and health institutions</w:t>
            </w:r>
          </w:p>
        </w:tc>
        <w:tc>
          <w:tcPr>
            <w:tcW w:w="1697" w:type="dxa"/>
            <w:tcBorders>
              <w:top w:val="nil"/>
              <w:bottom w:val="nil"/>
            </w:tcBorders>
            <w:noWrap/>
            <w:vAlign w:val="center"/>
          </w:tcPr>
          <w:p w14:paraId="02F64108">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10,000 sheets</w:t>
            </w:r>
          </w:p>
        </w:tc>
        <w:tc>
          <w:tcPr>
            <w:tcW w:w="973" w:type="dxa"/>
            <w:tcBorders>
              <w:top w:val="nil"/>
              <w:bottom w:val="nil"/>
            </w:tcBorders>
            <w:noWrap/>
            <w:vAlign w:val="center"/>
          </w:tcPr>
          <w:p w14:paraId="3C297346">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nil"/>
              <w:bottom w:val="nil"/>
            </w:tcBorders>
            <w:noWrap/>
            <w:vAlign w:val="center"/>
          </w:tcPr>
          <w:p w14:paraId="1D381415">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0.09</w:t>
            </w:r>
          </w:p>
        </w:tc>
      </w:tr>
      <w:tr w14:paraId="21E7F11D">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continue"/>
            <w:tcBorders>
              <w:top w:val="nil"/>
              <w:bottom w:val="nil"/>
            </w:tcBorders>
            <w:vAlign w:val="center"/>
          </w:tcPr>
          <w:p w14:paraId="11C27938">
            <w:pPr>
              <w:widowControl/>
              <w:jc w:val="left"/>
              <w:rPr>
                <w:rFonts w:ascii="Times New Roman" w:hAnsi="Times New Roman" w:eastAsia="宋体" w:cs="Times New Roman"/>
                <w:kern w:val="0"/>
                <w:sz w:val="18"/>
                <w:szCs w:val="18"/>
              </w:rPr>
            </w:pPr>
          </w:p>
        </w:tc>
        <w:tc>
          <w:tcPr>
            <w:tcW w:w="3252" w:type="dxa"/>
            <w:tcBorders>
              <w:top w:val="nil"/>
              <w:bottom w:val="nil"/>
            </w:tcBorders>
            <w:noWrap/>
            <w:vAlign w:val="center"/>
          </w:tcPr>
          <w:p w14:paraId="6CB11BCE">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Per capita number of public library books</w:t>
            </w:r>
          </w:p>
        </w:tc>
        <w:tc>
          <w:tcPr>
            <w:tcW w:w="1697" w:type="dxa"/>
            <w:tcBorders>
              <w:top w:val="nil"/>
              <w:bottom w:val="nil"/>
            </w:tcBorders>
            <w:noWrap/>
            <w:vAlign w:val="center"/>
          </w:tcPr>
          <w:p w14:paraId="34FF620A">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Volumes per person</w:t>
            </w:r>
          </w:p>
        </w:tc>
        <w:tc>
          <w:tcPr>
            <w:tcW w:w="973" w:type="dxa"/>
            <w:tcBorders>
              <w:top w:val="nil"/>
              <w:bottom w:val="nil"/>
            </w:tcBorders>
            <w:noWrap/>
            <w:vAlign w:val="center"/>
          </w:tcPr>
          <w:p w14:paraId="4460F3FF">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nil"/>
              <w:bottom w:val="nil"/>
            </w:tcBorders>
            <w:noWrap/>
            <w:vAlign w:val="center"/>
          </w:tcPr>
          <w:p w14:paraId="567D59B9">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0.1227</w:t>
            </w:r>
          </w:p>
        </w:tc>
      </w:tr>
      <w:tr w14:paraId="1EFAA617">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continue"/>
            <w:tcBorders>
              <w:top w:val="nil"/>
              <w:bottom w:val="single" w:color="auto" w:sz="6" w:space="0"/>
            </w:tcBorders>
            <w:vAlign w:val="center"/>
          </w:tcPr>
          <w:p w14:paraId="5A19B662">
            <w:pPr>
              <w:widowControl/>
              <w:jc w:val="left"/>
              <w:rPr>
                <w:rFonts w:ascii="Times New Roman" w:hAnsi="Times New Roman" w:eastAsia="宋体" w:cs="Times New Roman"/>
                <w:kern w:val="0"/>
                <w:sz w:val="18"/>
                <w:szCs w:val="18"/>
              </w:rPr>
            </w:pPr>
          </w:p>
        </w:tc>
        <w:tc>
          <w:tcPr>
            <w:tcW w:w="3252" w:type="dxa"/>
            <w:tcBorders>
              <w:top w:val="nil"/>
              <w:bottom w:val="single" w:color="auto" w:sz="6" w:space="0"/>
            </w:tcBorders>
            <w:noWrap/>
            <w:vAlign w:val="center"/>
          </w:tcPr>
          <w:p w14:paraId="2776A711">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Number of public transport</w:t>
            </w:r>
            <w:r>
              <w:rPr>
                <w:rFonts w:hint="eastAsia" w:ascii="Times New Roman" w:hAnsi="Times New Roman" w:eastAsia="宋体" w:cs="Times New Roman"/>
                <w:kern w:val="0"/>
                <w:sz w:val="18"/>
                <w:szCs w:val="18"/>
              </w:rPr>
              <w:t>s</w:t>
            </w:r>
          </w:p>
          <w:p w14:paraId="0DF40C5F">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vehicles per 10,000 persons</w:t>
            </w:r>
          </w:p>
        </w:tc>
        <w:tc>
          <w:tcPr>
            <w:tcW w:w="1697" w:type="dxa"/>
            <w:tcBorders>
              <w:top w:val="nil"/>
              <w:bottom w:val="single" w:color="auto" w:sz="6" w:space="0"/>
            </w:tcBorders>
            <w:noWrap/>
            <w:vAlign w:val="center"/>
          </w:tcPr>
          <w:p w14:paraId="668B6024">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Units</w:t>
            </w:r>
          </w:p>
        </w:tc>
        <w:tc>
          <w:tcPr>
            <w:tcW w:w="973" w:type="dxa"/>
            <w:tcBorders>
              <w:top w:val="nil"/>
              <w:bottom w:val="single" w:color="auto" w:sz="6" w:space="0"/>
            </w:tcBorders>
            <w:noWrap/>
            <w:vAlign w:val="center"/>
          </w:tcPr>
          <w:p w14:paraId="0BF437CC">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nil"/>
              <w:bottom w:val="single" w:color="auto" w:sz="6" w:space="0"/>
            </w:tcBorders>
            <w:noWrap/>
            <w:vAlign w:val="center"/>
          </w:tcPr>
          <w:p w14:paraId="330D441C">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0.0484</w:t>
            </w:r>
          </w:p>
        </w:tc>
      </w:tr>
      <w:tr w14:paraId="4F132342">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restart"/>
            <w:tcBorders>
              <w:top w:val="single" w:color="auto" w:sz="6" w:space="0"/>
              <w:bottom w:val="nil"/>
            </w:tcBorders>
            <w:noWrap/>
            <w:vAlign w:val="center"/>
          </w:tcPr>
          <w:p w14:paraId="10C27183">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 xml:space="preserve">Green </w:t>
            </w:r>
          </w:p>
          <w:p w14:paraId="0E896810">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urbanization</w:t>
            </w:r>
          </w:p>
        </w:tc>
        <w:tc>
          <w:tcPr>
            <w:tcW w:w="3252" w:type="dxa"/>
            <w:tcBorders>
              <w:top w:val="single" w:color="auto" w:sz="6" w:space="0"/>
              <w:bottom w:val="nil"/>
            </w:tcBorders>
            <w:noWrap/>
            <w:vAlign w:val="center"/>
          </w:tcPr>
          <w:p w14:paraId="4869ED80">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Per capita green park area</w:t>
            </w:r>
          </w:p>
        </w:tc>
        <w:tc>
          <w:tcPr>
            <w:tcW w:w="1697" w:type="dxa"/>
            <w:tcBorders>
              <w:top w:val="single" w:color="auto" w:sz="6" w:space="0"/>
              <w:bottom w:val="nil"/>
            </w:tcBorders>
            <w:noWrap/>
            <w:vAlign w:val="center"/>
          </w:tcPr>
          <w:p w14:paraId="22C9307A">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m² per person</w:t>
            </w:r>
          </w:p>
        </w:tc>
        <w:tc>
          <w:tcPr>
            <w:tcW w:w="973" w:type="dxa"/>
            <w:tcBorders>
              <w:top w:val="single" w:color="auto" w:sz="6" w:space="0"/>
              <w:bottom w:val="nil"/>
            </w:tcBorders>
            <w:noWrap/>
            <w:vAlign w:val="center"/>
          </w:tcPr>
          <w:p w14:paraId="1B557E28">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single" w:color="auto" w:sz="6" w:space="0"/>
              <w:bottom w:val="nil"/>
            </w:tcBorders>
            <w:noWrap/>
            <w:vAlign w:val="center"/>
          </w:tcPr>
          <w:p w14:paraId="39D58319">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0.0339</w:t>
            </w:r>
          </w:p>
        </w:tc>
      </w:tr>
      <w:tr w14:paraId="308B9C31">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551" w:type="dxa"/>
            <w:vMerge w:val="continue"/>
            <w:tcBorders>
              <w:top w:val="nil"/>
              <w:bottom w:val="single" w:color="auto" w:sz="12" w:space="0"/>
            </w:tcBorders>
            <w:vAlign w:val="center"/>
          </w:tcPr>
          <w:p w14:paraId="2C3C7844">
            <w:pPr>
              <w:widowControl/>
              <w:jc w:val="left"/>
              <w:rPr>
                <w:rFonts w:ascii="Times New Roman" w:hAnsi="Times New Roman" w:eastAsia="宋体" w:cs="Times New Roman"/>
                <w:kern w:val="0"/>
                <w:sz w:val="18"/>
                <w:szCs w:val="18"/>
              </w:rPr>
            </w:pPr>
          </w:p>
        </w:tc>
        <w:tc>
          <w:tcPr>
            <w:tcW w:w="3252" w:type="dxa"/>
            <w:tcBorders>
              <w:top w:val="nil"/>
              <w:bottom w:val="single" w:color="auto" w:sz="12" w:space="0"/>
            </w:tcBorders>
            <w:noWrap/>
            <w:vAlign w:val="center"/>
          </w:tcPr>
          <w:p w14:paraId="26DE81A7">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Urban sewage treatment capacity</w:t>
            </w:r>
          </w:p>
        </w:tc>
        <w:tc>
          <w:tcPr>
            <w:tcW w:w="1697" w:type="dxa"/>
            <w:tcBorders>
              <w:top w:val="nil"/>
              <w:bottom w:val="single" w:color="auto" w:sz="12" w:space="0"/>
            </w:tcBorders>
            <w:noWrap/>
            <w:vAlign w:val="center"/>
          </w:tcPr>
          <w:p w14:paraId="412098F1">
            <w:pPr>
              <w:widowControl/>
              <w:jc w:val="left"/>
              <w:rPr>
                <w:rFonts w:ascii="Times New Roman" w:hAnsi="Times New Roman" w:eastAsia="宋体" w:cs="Times New Roman"/>
                <w:kern w:val="0"/>
                <w:sz w:val="18"/>
                <w:szCs w:val="18"/>
              </w:rPr>
            </w:pPr>
            <w:r>
              <w:rPr>
                <w:rFonts w:ascii="Times New Roman" w:hAnsi="Times New Roman" w:eastAsia="宋体" w:cs="Times New Roman"/>
                <w:kern w:val="0"/>
                <w:sz w:val="18"/>
                <w:szCs w:val="18"/>
              </w:rPr>
              <w:t>10,000 m³</w:t>
            </w:r>
          </w:p>
        </w:tc>
        <w:tc>
          <w:tcPr>
            <w:tcW w:w="973" w:type="dxa"/>
            <w:tcBorders>
              <w:top w:val="nil"/>
              <w:bottom w:val="single" w:color="auto" w:sz="12" w:space="0"/>
            </w:tcBorders>
            <w:noWrap/>
            <w:vAlign w:val="center"/>
          </w:tcPr>
          <w:p w14:paraId="1A983503">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w:t>
            </w:r>
          </w:p>
        </w:tc>
        <w:tc>
          <w:tcPr>
            <w:tcW w:w="850" w:type="dxa"/>
            <w:tcBorders>
              <w:top w:val="nil"/>
              <w:bottom w:val="single" w:color="auto" w:sz="12" w:space="0"/>
            </w:tcBorders>
            <w:noWrap/>
            <w:vAlign w:val="center"/>
          </w:tcPr>
          <w:p w14:paraId="5C36774D">
            <w:pPr>
              <w:widowControl/>
              <w:jc w:val="center"/>
              <w:rPr>
                <w:rFonts w:ascii="Times New Roman" w:hAnsi="Times New Roman" w:eastAsia="宋体" w:cs="Times New Roman"/>
                <w:kern w:val="0"/>
                <w:sz w:val="18"/>
                <w:szCs w:val="18"/>
              </w:rPr>
            </w:pPr>
            <w:r>
              <w:rPr>
                <w:rFonts w:ascii="Times New Roman" w:hAnsi="Times New Roman" w:eastAsia="宋体" w:cs="Times New Roman"/>
                <w:kern w:val="0"/>
                <w:sz w:val="18"/>
                <w:szCs w:val="18"/>
              </w:rPr>
              <w:t>0.1182</w:t>
            </w:r>
          </w:p>
        </w:tc>
      </w:tr>
    </w:tbl>
    <w:p w14:paraId="76F3C7C2">
      <w:pPr>
        <w:rPr>
          <w:rFonts w:hint="eastAsia" w:ascii="宋体" w:hAnsi="宋体" w:eastAsia="宋体"/>
          <w:sz w:val="24"/>
          <w:szCs w:val="24"/>
        </w:rPr>
      </w:pPr>
    </w:p>
    <w:p w14:paraId="01435404">
      <w:pPr>
        <w:spacing w:after="120" w:afterLines="50" w:line="480" w:lineRule="auto"/>
        <w:rPr>
          <w:rFonts w:hint="eastAsia" w:ascii="Times New Roman" w:hAnsi="Times New Roman" w:cs="Times New Roman"/>
          <w:b/>
          <w:bCs/>
          <w:szCs w:val="24"/>
        </w:rPr>
      </w:pPr>
      <w:bookmarkStart w:id="16" w:name="OLE_LINK15"/>
      <w:r>
        <w:rPr>
          <w:rFonts w:hint="eastAsia" w:ascii="Times New Roman" w:hAnsi="Times New Roman" w:cs="Times New Roman"/>
          <w:b/>
          <w:bCs/>
          <w:szCs w:val="24"/>
        </w:rPr>
        <w:t>3.1.3. Control Variables</w:t>
      </w:r>
    </w:p>
    <w:p w14:paraId="493EF456">
      <w:pPr>
        <w:spacing w:line="480" w:lineRule="auto"/>
        <w:ind w:firstLine="480"/>
        <w:rPr>
          <w:rFonts w:ascii="Times New Roman" w:hAnsi="Times New Roman" w:cs="Times New Roman"/>
          <w:szCs w:val="24"/>
        </w:rPr>
      </w:pPr>
      <w:r>
        <w:rPr>
          <w:rFonts w:hint="eastAsia" w:ascii="Times New Roman" w:hAnsi="Times New Roman" w:cs="Times New Roman"/>
          <w:szCs w:val="24"/>
        </w:rPr>
        <w:t>T</w:t>
      </w:r>
      <w:r>
        <w:rPr>
          <w:rFonts w:ascii="Times New Roman" w:hAnsi="Times New Roman" w:cs="Times New Roman"/>
          <w:szCs w:val="24"/>
        </w:rPr>
        <w:t xml:space="preserve">o accurately assess the impact of NTU on AER, </w:t>
      </w:r>
      <w:r>
        <w:rPr>
          <w:rFonts w:hint="eastAsia" w:ascii="Times New Roman" w:hAnsi="Times New Roman" w:cs="Times New Roman"/>
          <w:szCs w:val="24"/>
        </w:rPr>
        <w:t>a set of</w:t>
      </w:r>
      <w:r>
        <w:rPr>
          <w:rFonts w:ascii="Times New Roman" w:hAnsi="Times New Roman" w:cs="Times New Roman"/>
          <w:szCs w:val="24"/>
        </w:rPr>
        <w:t xml:space="preserve"> control variables w</w:t>
      </w:r>
      <w:r>
        <w:rPr>
          <w:rFonts w:hint="eastAsia" w:ascii="Times New Roman" w:hAnsi="Times New Roman" w:cs="Times New Roman"/>
          <w:szCs w:val="24"/>
        </w:rPr>
        <w:t>as</w:t>
      </w:r>
      <w:r>
        <w:rPr>
          <w:rFonts w:ascii="Times New Roman" w:hAnsi="Times New Roman" w:cs="Times New Roman"/>
          <w:szCs w:val="24"/>
        </w:rPr>
        <w:t xml:space="preserve"> incorporated to account for potential confounding </w:t>
      </w:r>
      <w:r>
        <w:rPr>
          <w:rFonts w:hint="eastAsia" w:ascii="Times New Roman" w:hAnsi="Times New Roman" w:cs="Times New Roman"/>
          <w:szCs w:val="24"/>
        </w:rPr>
        <w:t>effect</w:t>
      </w:r>
      <w:r>
        <w:rPr>
          <w:rFonts w:ascii="Times New Roman" w:hAnsi="Times New Roman" w:cs="Times New Roman"/>
          <w:szCs w:val="24"/>
        </w:rPr>
        <w:t>s</w:t>
      </w:r>
      <w:r>
        <w:rPr>
          <w:rFonts w:hint="eastAsia" w:ascii="Times New Roman" w:hAnsi="Times New Roman" w:cs="Times New Roman"/>
          <w:szCs w:val="24"/>
        </w:rPr>
        <w:t>, defined and measured as follows</w:t>
      </w:r>
      <w:r>
        <w:rPr>
          <w:rFonts w:ascii="Times New Roman" w:hAnsi="Times New Roman" w:cs="Times New Roman"/>
          <w:szCs w:val="24"/>
        </w:rPr>
        <w:t>. Electric Power Infrastructure (EPI) is measured as the ratio of rural electricity consumption to the rural population,</w:t>
      </w:r>
      <w:r>
        <w:rPr>
          <w:rFonts w:hint="eastAsia" w:ascii="Times New Roman" w:hAnsi="Times New Roman" w:cs="Times New Roman"/>
          <w:szCs w:val="24"/>
        </w:rPr>
        <w:t xml:space="preserve"> captur</w:t>
      </w:r>
      <w:r>
        <w:rPr>
          <w:rFonts w:ascii="Times New Roman" w:hAnsi="Times New Roman" w:cs="Times New Roman"/>
          <w:szCs w:val="24"/>
        </w:rPr>
        <w:t>ing the level of</w:t>
      </w:r>
      <w:r>
        <w:rPr>
          <w:rFonts w:hint="eastAsia" w:ascii="Times New Roman" w:hAnsi="Times New Roman" w:cs="Times New Roman"/>
          <w:szCs w:val="24"/>
        </w:rPr>
        <w:t xml:space="preserve"> </w:t>
      </w:r>
      <w:r>
        <w:rPr>
          <w:rFonts w:ascii="Times New Roman" w:hAnsi="Times New Roman" w:cs="Times New Roman"/>
          <w:szCs w:val="24"/>
        </w:rPr>
        <w:t xml:space="preserve">energy accessibility and basic infrastructure </w:t>
      </w:r>
      <w:r>
        <w:rPr>
          <w:rFonts w:hint="eastAsia" w:ascii="Times New Roman" w:hAnsi="Times New Roman" w:cs="Times New Roman"/>
          <w:szCs w:val="24"/>
        </w:rPr>
        <w:t xml:space="preserve">development </w:t>
      </w:r>
      <w:r>
        <w:rPr>
          <w:rFonts w:ascii="Times New Roman" w:hAnsi="Times New Roman" w:cs="Times New Roman"/>
          <w:szCs w:val="24"/>
        </w:rPr>
        <w:t xml:space="preserve">in rural areas. Agricultural Insurance Intensity (AII) is calculated as the proportion of agricultural insurance revenue to total agricultural output, </w:t>
      </w:r>
      <w:r>
        <w:rPr>
          <w:rFonts w:hint="eastAsia" w:ascii="Times New Roman" w:hAnsi="Times New Roman" w:cs="Times New Roman"/>
          <w:szCs w:val="24"/>
        </w:rPr>
        <w:t xml:space="preserve">reflecting </w:t>
      </w:r>
      <w:r>
        <w:rPr>
          <w:rFonts w:ascii="Times New Roman" w:hAnsi="Times New Roman" w:cs="Times New Roman"/>
          <w:szCs w:val="24"/>
        </w:rPr>
        <w:t xml:space="preserve">the </w:t>
      </w:r>
      <w:r>
        <w:rPr>
          <w:rFonts w:hint="eastAsia" w:ascii="Times New Roman" w:hAnsi="Times New Roman" w:cs="Times New Roman"/>
          <w:szCs w:val="24"/>
        </w:rPr>
        <w:t xml:space="preserve">degree of </w:t>
      </w:r>
      <w:r>
        <w:rPr>
          <w:rFonts w:ascii="Times New Roman" w:hAnsi="Times New Roman" w:cs="Times New Roman"/>
          <w:szCs w:val="24"/>
        </w:rPr>
        <w:t xml:space="preserve">risk </w:t>
      </w:r>
      <w:r>
        <w:rPr>
          <w:rFonts w:hint="eastAsia" w:ascii="Times New Roman" w:hAnsi="Times New Roman" w:cs="Times New Roman"/>
          <w:szCs w:val="24"/>
        </w:rPr>
        <w:t xml:space="preserve">management </w:t>
      </w:r>
      <w:r>
        <w:rPr>
          <w:rFonts w:ascii="Times New Roman" w:hAnsi="Times New Roman" w:cs="Times New Roman"/>
          <w:szCs w:val="24"/>
        </w:rPr>
        <w:t>capacity</w:t>
      </w:r>
      <w:r>
        <w:rPr>
          <w:rFonts w:hint="eastAsia" w:ascii="Times New Roman" w:hAnsi="Times New Roman" w:cs="Times New Roman"/>
          <w:szCs w:val="24"/>
        </w:rPr>
        <w:t xml:space="preserve"> within the agricultural </w:t>
      </w:r>
      <w:r>
        <w:rPr>
          <w:rFonts w:ascii="Times New Roman" w:hAnsi="Times New Roman" w:cs="Times New Roman"/>
          <w:szCs w:val="24"/>
        </w:rPr>
        <w:t xml:space="preserve">sector. Road Network Density (RND) is defined as the total length of roads in operation divided by the land area of the region, indicating </w:t>
      </w:r>
      <w:r>
        <w:rPr>
          <w:rFonts w:hint="eastAsia" w:ascii="Times New Roman" w:hAnsi="Times New Roman" w:cs="Times New Roman"/>
          <w:szCs w:val="24"/>
        </w:rPr>
        <w:t xml:space="preserve">the density and </w:t>
      </w:r>
      <w:r>
        <w:rPr>
          <w:rFonts w:ascii="Times New Roman" w:hAnsi="Times New Roman" w:cs="Times New Roman"/>
          <w:szCs w:val="24"/>
        </w:rPr>
        <w:t>accessibility</w:t>
      </w:r>
      <w:r>
        <w:rPr>
          <w:rFonts w:hint="eastAsia" w:ascii="Times New Roman" w:hAnsi="Times New Roman" w:cs="Times New Roman"/>
          <w:szCs w:val="24"/>
        </w:rPr>
        <w:t xml:space="preserve"> of </w:t>
      </w:r>
      <w:r>
        <w:rPr>
          <w:rFonts w:ascii="Times New Roman" w:hAnsi="Times New Roman" w:cs="Times New Roman"/>
          <w:szCs w:val="24"/>
        </w:rPr>
        <w:t>regional transportation</w:t>
      </w:r>
      <w:r>
        <w:rPr>
          <w:rFonts w:hint="eastAsia" w:ascii="Times New Roman" w:hAnsi="Times New Roman" w:cs="Times New Roman"/>
          <w:szCs w:val="24"/>
        </w:rPr>
        <w:t xml:space="preserve"> </w:t>
      </w:r>
      <w:r>
        <w:rPr>
          <w:rFonts w:ascii="Times New Roman" w:hAnsi="Times New Roman" w:cs="Times New Roman"/>
          <w:szCs w:val="24"/>
        </w:rPr>
        <w:t>infrastructure. Agricultural Machinery Power (AMP)</w:t>
      </w:r>
      <w:r>
        <w:rPr>
          <w:rFonts w:hint="eastAsia" w:ascii="Times New Roman" w:hAnsi="Times New Roman" w:cs="Times New Roman"/>
          <w:szCs w:val="24"/>
        </w:rPr>
        <w:t xml:space="preserve"> is express</w:t>
      </w:r>
      <w:r>
        <w:rPr>
          <w:rFonts w:ascii="Times New Roman" w:hAnsi="Times New Roman" w:cs="Times New Roman"/>
          <w:szCs w:val="24"/>
        </w:rPr>
        <w:t>ed as the total power of agricultural machinery per rural resident, serv</w:t>
      </w:r>
      <w:r>
        <w:rPr>
          <w:rFonts w:hint="eastAsia" w:ascii="Times New Roman" w:hAnsi="Times New Roman" w:cs="Times New Roman"/>
          <w:szCs w:val="24"/>
        </w:rPr>
        <w:t>ing</w:t>
      </w:r>
      <w:r>
        <w:rPr>
          <w:rFonts w:ascii="Times New Roman" w:hAnsi="Times New Roman" w:cs="Times New Roman"/>
          <w:szCs w:val="24"/>
        </w:rPr>
        <w:t xml:space="preserve"> as a</w:t>
      </w:r>
      <w:r>
        <w:rPr>
          <w:rFonts w:hint="eastAsia" w:ascii="Times New Roman" w:hAnsi="Times New Roman" w:cs="Times New Roman"/>
          <w:szCs w:val="24"/>
        </w:rPr>
        <w:t xml:space="preserve"> proxy for the level of </w:t>
      </w:r>
      <w:r>
        <w:rPr>
          <w:rFonts w:ascii="Times New Roman" w:hAnsi="Times New Roman" w:cs="Times New Roman"/>
          <w:szCs w:val="24"/>
        </w:rPr>
        <w:t>agricultur</w:t>
      </w:r>
      <w:r>
        <w:rPr>
          <w:rFonts w:hint="eastAsia" w:ascii="Times New Roman" w:hAnsi="Times New Roman" w:cs="Times New Roman"/>
          <w:szCs w:val="24"/>
        </w:rPr>
        <w:t xml:space="preserve">al </w:t>
      </w:r>
      <w:r>
        <w:rPr>
          <w:rFonts w:ascii="Times New Roman" w:hAnsi="Times New Roman" w:cs="Times New Roman"/>
          <w:szCs w:val="24"/>
        </w:rPr>
        <w:t xml:space="preserve">mechanization. Finally, Forest Coverage Rate (FCR) is </w:t>
      </w:r>
      <w:r>
        <w:rPr>
          <w:rFonts w:hint="eastAsia" w:ascii="Times New Roman" w:hAnsi="Times New Roman" w:cs="Times New Roman"/>
          <w:szCs w:val="24"/>
        </w:rPr>
        <w:t>represent</w:t>
      </w:r>
      <w:r>
        <w:rPr>
          <w:rFonts w:ascii="Times New Roman" w:hAnsi="Times New Roman" w:cs="Times New Roman"/>
          <w:szCs w:val="24"/>
        </w:rPr>
        <w:t xml:space="preserve">ed </w:t>
      </w:r>
      <w:r>
        <w:rPr>
          <w:rFonts w:hint="eastAsia" w:ascii="Times New Roman" w:hAnsi="Times New Roman" w:cs="Times New Roman"/>
          <w:szCs w:val="24"/>
        </w:rPr>
        <w:t xml:space="preserve">by </w:t>
      </w:r>
      <w:r>
        <w:rPr>
          <w:rFonts w:ascii="Times New Roman" w:hAnsi="Times New Roman" w:cs="Times New Roman"/>
          <w:szCs w:val="24"/>
        </w:rPr>
        <w:t xml:space="preserve">the proportion of forested area </w:t>
      </w:r>
      <w:r>
        <w:rPr>
          <w:rFonts w:hint="eastAsia" w:ascii="Times New Roman" w:hAnsi="Times New Roman" w:cs="Times New Roman"/>
          <w:szCs w:val="24"/>
        </w:rPr>
        <w:t xml:space="preserve">in the </w:t>
      </w:r>
      <w:r>
        <w:rPr>
          <w:rFonts w:ascii="Times New Roman" w:hAnsi="Times New Roman" w:cs="Times New Roman"/>
          <w:szCs w:val="24"/>
        </w:rPr>
        <w:t>total land area, accounting for regional ecological resource conditions.</w:t>
      </w:r>
      <w:bookmarkEnd w:id="16"/>
    </w:p>
    <w:p w14:paraId="0F307521">
      <w:pPr>
        <w:spacing w:after="120" w:afterLines="50" w:line="480" w:lineRule="auto"/>
        <w:rPr>
          <w:rFonts w:hint="eastAsia" w:ascii="Times New Roman" w:hAnsi="Times New Roman" w:cs="Times New Roman"/>
          <w:b/>
          <w:bCs/>
          <w:szCs w:val="24"/>
        </w:rPr>
      </w:pPr>
      <w:r>
        <w:rPr>
          <w:rFonts w:hint="eastAsia" w:ascii="Times New Roman" w:hAnsi="Times New Roman" w:cs="Times New Roman"/>
          <w:b/>
          <w:bCs/>
          <w:szCs w:val="24"/>
        </w:rPr>
        <w:t>3.1.4. Other Variables</w:t>
      </w:r>
    </w:p>
    <w:p w14:paraId="0C9A7449">
      <w:pPr>
        <w:spacing w:line="480" w:lineRule="auto"/>
        <w:ind w:firstLine="480"/>
        <w:rPr>
          <w:rFonts w:hint="eastAsia" w:ascii="Times New Roman" w:hAnsi="Times New Roman" w:cs="Times New Roman"/>
          <w:szCs w:val="24"/>
        </w:rPr>
      </w:pPr>
      <w:bookmarkStart w:id="17" w:name="OLE_LINK16"/>
      <w:r>
        <w:rPr>
          <w:rFonts w:ascii="Times New Roman" w:hAnsi="Times New Roman" w:cs="Times New Roman"/>
          <w:szCs w:val="24"/>
        </w:rPr>
        <w:t xml:space="preserve">To further investigate the mechanisms through which NTU influences AER, two mediating variables were introduced: </w:t>
      </w:r>
      <w:r>
        <w:rPr>
          <w:rFonts w:hint="default" w:ascii="Times New Roman" w:hAnsi="Times New Roman" w:cs="Times New Roman"/>
          <w:szCs w:val="24"/>
        </w:rPr>
        <w:t>Green Technology Innovation (GTI)</w:t>
      </w:r>
      <w:r>
        <w:rPr>
          <w:rFonts w:hint="eastAsia" w:ascii="Times New Roman" w:hAnsi="Times New Roman" w:cs="Times New Roman"/>
          <w:szCs w:val="24"/>
          <w:lang w:val="en-US" w:eastAsia="zh-CN"/>
        </w:rPr>
        <w:t xml:space="preserve"> </w:t>
      </w:r>
      <w:r>
        <w:rPr>
          <w:rFonts w:ascii="Times New Roman" w:hAnsi="Times New Roman" w:cs="Times New Roman"/>
          <w:szCs w:val="24"/>
        </w:rPr>
        <w:t xml:space="preserve">and </w:t>
      </w:r>
      <w:r>
        <w:rPr>
          <w:rFonts w:hint="default" w:ascii="Times New Roman" w:hAnsi="Times New Roman" w:cs="Times New Roman"/>
          <w:szCs w:val="24"/>
        </w:rPr>
        <w:t>Agricultural Entrepreneurship Activity(AEA)</w:t>
      </w:r>
      <w:r>
        <w:rPr>
          <w:rFonts w:ascii="Times New Roman" w:hAnsi="Times New Roman" w:cs="Times New Roman"/>
          <w:szCs w:val="24"/>
        </w:rPr>
        <w:t>. GTI is measured by the number of green patent applications, reflecting</w:t>
      </w:r>
      <w:r>
        <w:rPr>
          <w:rFonts w:hint="eastAsia" w:ascii="Times New Roman" w:hAnsi="Times New Roman" w:cs="Times New Roman"/>
          <w:szCs w:val="24"/>
        </w:rPr>
        <w:t xml:space="preserve"> the level of</w:t>
      </w:r>
      <w:r>
        <w:rPr>
          <w:rFonts w:ascii="Times New Roman" w:hAnsi="Times New Roman" w:cs="Times New Roman"/>
          <w:szCs w:val="24"/>
        </w:rPr>
        <w:t xml:space="preserve"> technological</w:t>
      </w:r>
      <w:r>
        <w:rPr>
          <w:rFonts w:hint="eastAsia" w:ascii="Times New Roman" w:hAnsi="Times New Roman" w:cs="Times New Roman"/>
          <w:szCs w:val="24"/>
        </w:rPr>
        <w:t xml:space="preserve"> innovation </w:t>
      </w:r>
      <w:r>
        <w:rPr>
          <w:rFonts w:ascii="Times New Roman" w:hAnsi="Times New Roman" w:cs="Times New Roman"/>
          <w:szCs w:val="24"/>
        </w:rPr>
        <w:t>support</w:t>
      </w:r>
      <w:r>
        <w:rPr>
          <w:rFonts w:hint="eastAsia" w:ascii="Times New Roman" w:hAnsi="Times New Roman" w:cs="Times New Roman"/>
          <w:szCs w:val="24"/>
        </w:rPr>
        <w:t>ing</w:t>
      </w:r>
      <w:r>
        <w:rPr>
          <w:rFonts w:ascii="Times New Roman" w:hAnsi="Times New Roman" w:cs="Times New Roman"/>
          <w:szCs w:val="24"/>
        </w:rPr>
        <w:t xml:space="preserve"> sustainable agricultural development. AEA, based on previous studies</w:t>
      </w:r>
      <w:r>
        <w:rPr>
          <w:rFonts w:ascii="Times New Roman" w:hAnsi="Times New Roman" w:cs="Times New Roman"/>
          <w:szCs w:val="24"/>
        </w:rPr>
        <w:fldChar w:fldCharType="begin"/>
      </w:r>
      <w:r>
        <w:rPr>
          <w:rFonts w:ascii="Times New Roman" w:hAnsi="Times New Roman" w:cs="Times New Roman"/>
          <w:szCs w:val="24"/>
        </w:rPr>
        <w:instrText xml:space="preserve"> ADDIN EN.CITE &lt;EndNote&gt;&lt;Cite&gt;&lt;Author&gt;Xu&lt;/Author&gt;&lt;Year&gt;2022&lt;/Year&gt;&lt;RecNum&gt;66&lt;/RecNum&gt;&lt;DisplayText&gt; (Xu et al., 2022)&lt;/DisplayText&gt;&lt;record&gt;&lt;rec-number&gt;66&lt;/rec-number&gt;&lt;foreign-keys&gt;&lt;key app="EN" db-id="dv0v2adwc2etf1ep9tapzzz5vffpepr5wxwa" timestamp="1765102549"&gt;66&lt;/key&gt;&lt;/foreign-keys&gt;&lt;ref-type name="Journal Article"&gt;17&lt;/ref-type&gt;&lt;contributors&gt;&lt;authors&gt;&lt;author&gt;Xu, Yueli&lt;/author&gt;&lt;author&gt;Sun, Zhaojun&lt;/author&gt;&lt;author&gt;Li, Shuai&lt;/author&gt;&lt;/authors&gt;&lt;/contributors&gt;&lt;titles&gt;&lt;title&gt;Digital Inclusive Finance and Traditional Rural Finance: Substitution or Complementarity? From the Perspective of Relaxing Farmers’ Financing Constraints&lt;/title&gt;&lt;secondary-title&gt;Journal of Finance and Economics&lt;/secondary-title&gt;&lt;/titles&gt;&lt;periodical&gt;&lt;full-title&gt;Journal of Finance and Economics&lt;/full-title&gt;&lt;/periodical&gt;&lt;pages&gt;34-48&lt;/pages&gt;&lt;volume&gt;48&lt;/volume&gt;&lt;number&gt;06&lt;/number&gt;&lt;dates&gt;&lt;year&gt;2022&lt;/year&gt;&lt;/dates&gt;&lt;isbn&gt;1001-9952&lt;/isbn&gt;&lt;urls&gt;&lt;/urls&gt;&lt;electronic-resource-num&gt;10.16538/j.cnki.jfe.20220113.203&lt;/electronic-resource-num&gt;&lt;/record&gt;&lt;/Cite&gt;&lt;/EndNote&gt;</w:instrText>
      </w:r>
      <w:r>
        <w:rPr>
          <w:rFonts w:ascii="Times New Roman" w:hAnsi="Times New Roman" w:cs="Times New Roman"/>
          <w:szCs w:val="24"/>
        </w:rPr>
        <w:fldChar w:fldCharType="separate"/>
      </w:r>
      <w:r>
        <w:rPr>
          <w:rFonts w:hint="eastAsia" w:ascii="Times New Roman" w:hAnsi="Times New Roman" w:cs="Times New Roman"/>
          <w:szCs w:val="24"/>
        </w:rPr>
        <w:t> </w:t>
      </w:r>
      <w:r>
        <w:rPr>
          <w:rFonts w:ascii="Times New Roman" w:hAnsi="Times New Roman" w:cs="Times New Roman"/>
          <w:szCs w:val="24"/>
        </w:rPr>
        <w:t>(</w:t>
      </w:r>
      <w:r>
        <w:fldChar w:fldCharType="begin"/>
      </w:r>
      <w:r>
        <w:instrText xml:space="preserve"> HYPERLINK \l "_ENREF_53" \o "Xu, 2022 #66" </w:instrText>
      </w:r>
      <w:r>
        <w:fldChar w:fldCharType="separate"/>
      </w:r>
      <w:r>
        <w:rPr>
          <w:rStyle w:val="23"/>
          <w:rFonts w:hint="eastAsia"/>
        </w:rPr>
        <w:t>Xu et al., 2022</w:t>
      </w:r>
      <w:r>
        <w:rPr>
          <w:rStyle w:val="23"/>
          <w:rFonts w:hint="eastAsia"/>
        </w:rPr>
        <w:fldChar w:fldCharType="end"/>
      </w:r>
      <w:r>
        <w:rPr>
          <w:rFonts w:ascii="Times New Roman" w:hAnsi="Times New Roman" w:cs="Times New Roman"/>
          <w:szCs w:val="24"/>
        </w:rPr>
        <w:t>)</w:t>
      </w:r>
      <w:r>
        <w:rPr>
          <w:rFonts w:ascii="Times New Roman" w:hAnsi="Times New Roman" w:cs="Times New Roman"/>
          <w:szCs w:val="24"/>
        </w:rPr>
        <w:fldChar w:fldCharType="end"/>
      </w:r>
      <w:r>
        <w:rPr>
          <w:rFonts w:hint="eastAsia" w:ascii="Times New Roman" w:hAnsi="Times New Roman" w:cs="Times New Roman"/>
          <w:szCs w:val="24"/>
        </w:rPr>
        <w:t xml:space="preserve">, </w:t>
      </w:r>
      <w:r>
        <w:rPr>
          <w:rFonts w:ascii="Times New Roman" w:hAnsi="Times New Roman" w:cs="Times New Roman"/>
          <w:szCs w:val="24"/>
        </w:rPr>
        <w:t>is quantified as the</w:t>
      </w:r>
      <w:r>
        <w:rPr>
          <w:rFonts w:hint="eastAsia" w:ascii="Times New Roman" w:hAnsi="Times New Roman" w:cs="Times New Roman"/>
          <w:szCs w:val="24"/>
        </w:rPr>
        <w:t xml:space="preserve"> proportion</w:t>
      </w:r>
      <w:r>
        <w:rPr>
          <w:rFonts w:ascii="Times New Roman" w:hAnsi="Times New Roman" w:cs="Times New Roman"/>
          <w:szCs w:val="24"/>
        </w:rPr>
        <w:t xml:space="preserve"> of employment in rural private enterprises and individual businesses </w:t>
      </w:r>
      <w:r>
        <w:rPr>
          <w:rFonts w:hint="eastAsia" w:ascii="Times New Roman" w:hAnsi="Times New Roman" w:cs="Times New Roman"/>
          <w:szCs w:val="24"/>
        </w:rPr>
        <w:t>relative to</w:t>
      </w:r>
      <w:r>
        <w:rPr>
          <w:rFonts w:ascii="Times New Roman" w:hAnsi="Times New Roman" w:cs="Times New Roman"/>
          <w:szCs w:val="24"/>
        </w:rPr>
        <w:t xml:space="preserve"> the total rural population, with higher values indicating </w:t>
      </w:r>
      <w:r>
        <w:rPr>
          <w:rFonts w:hint="eastAsia" w:ascii="Times New Roman" w:hAnsi="Times New Roman" w:cs="Times New Roman"/>
          <w:szCs w:val="24"/>
        </w:rPr>
        <w:t>strong</w:t>
      </w:r>
      <w:r>
        <w:rPr>
          <w:rFonts w:ascii="Times New Roman" w:hAnsi="Times New Roman" w:cs="Times New Roman"/>
          <w:szCs w:val="24"/>
        </w:rPr>
        <w:t>er entrepreneurial dynamism</w:t>
      </w:r>
      <w:r>
        <w:rPr>
          <w:rFonts w:hint="eastAsia" w:ascii="Times New Roman" w:hAnsi="Times New Roman" w:cs="Times New Roman"/>
          <w:szCs w:val="24"/>
        </w:rPr>
        <w:t xml:space="preserve"> in the agricultural sector</w:t>
      </w:r>
      <w:r>
        <w:rPr>
          <w:rFonts w:ascii="Times New Roman" w:hAnsi="Times New Roman" w:cs="Times New Roman"/>
          <w:szCs w:val="24"/>
        </w:rPr>
        <w:t>.</w:t>
      </w:r>
      <w:r>
        <w:rPr>
          <w:rFonts w:hint="eastAsia" w:ascii="Times New Roman" w:hAnsi="Times New Roman" w:cs="Times New Roman"/>
          <w:szCs w:val="24"/>
        </w:rPr>
        <w:t xml:space="preserve"> </w:t>
      </w:r>
    </w:p>
    <w:p w14:paraId="510A21BE">
      <w:pPr>
        <w:spacing w:line="480" w:lineRule="auto"/>
        <w:ind w:firstLine="480"/>
        <w:rPr>
          <w:rFonts w:ascii="Times New Roman" w:hAnsi="Times New Roman" w:cs="Times New Roman"/>
          <w:szCs w:val="24"/>
        </w:rPr>
      </w:pPr>
      <w:r>
        <w:rPr>
          <w:rFonts w:ascii="Times New Roman" w:hAnsi="Times New Roman" w:cs="Times New Roman"/>
          <w:szCs w:val="24"/>
        </w:rPr>
        <w:t xml:space="preserve">In addition, to examine whether the financial environment and institutional support </w:t>
      </w:r>
      <w:r>
        <w:rPr>
          <w:rFonts w:hint="eastAsia" w:ascii="Times New Roman" w:hAnsi="Times New Roman" w:cs="Times New Roman"/>
          <w:szCs w:val="24"/>
        </w:rPr>
        <w:t>moderate the relationship between</w:t>
      </w:r>
      <w:r>
        <w:rPr>
          <w:rFonts w:ascii="Times New Roman" w:hAnsi="Times New Roman" w:cs="Times New Roman"/>
          <w:szCs w:val="24"/>
        </w:rPr>
        <w:t xml:space="preserve"> NTU</w:t>
      </w:r>
      <w:r>
        <w:rPr>
          <w:rFonts w:hint="eastAsia" w:ascii="Times New Roman" w:hAnsi="Times New Roman" w:cs="Times New Roman"/>
          <w:szCs w:val="24"/>
        </w:rPr>
        <w:t xml:space="preserve"> and </w:t>
      </w:r>
      <w:r>
        <w:rPr>
          <w:rFonts w:ascii="Times New Roman" w:hAnsi="Times New Roman" w:cs="Times New Roman"/>
          <w:szCs w:val="24"/>
        </w:rPr>
        <w:t>AER, two moderating variables were i</w:t>
      </w:r>
      <w:r>
        <w:rPr>
          <w:rFonts w:hint="eastAsia" w:ascii="Times New Roman" w:hAnsi="Times New Roman" w:cs="Times New Roman"/>
          <w:szCs w:val="24"/>
        </w:rPr>
        <w:t>ncorporated:</w:t>
      </w:r>
      <w:r>
        <w:rPr>
          <w:rFonts w:hint="default" w:ascii="Times New Roman" w:hAnsi="Times New Roman" w:cs="Times New Roman"/>
          <w:szCs w:val="24"/>
        </w:rPr>
        <w:t>Green Finance Development (GFI) and Agricultural Payout Ratio (APR)</w:t>
      </w:r>
      <w:r>
        <w:rPr>
          <w:rFonts w:hint="eastAsia" w:ascii="Times New Roman" w:hAnsi="Times New Roman" w:cs="Times New Roman"/>
          <w:szCs w:val="24"/>
        </w:rPr>
        <w:t>.</w:t>
      </w:r>
      <w:r>
        <w:rPr>
          <w:rFonts w:ascii="Times New Roman" w:hAnsi="Times New Roman" w:cs="Times New Roman"/>
          <w:szCs w:val="24"/>
        </w:rPr>
        <w:t xml:space="preserve"> GFI</w:t>
      </w:r>
      <w:r>
        <w:rPr>
          <w:rFonts w:hint="eastAsia" w:ascii="Times New Roman" w:hAnsi="Times New Roman" w:cs="Times New Roman"/>
          <w:szCs w:val="24"/>
        </w:rPr>
        <w:t xml:space="preserve"> is constructed using the</w:t>
      </w:r>
      <w:r>
        <w:rPr>
          <w:rFonts w:ascii="Times New Roman" w:hAnsi="Times New Roman" w:cs="Times New Roman"/>
          <w:szCs w:val="24"/>
        </w:rPr>
        <w:t xml:space="preserve"> entropy method</w:t>
      </w:r>
      <w:r>
        <w:rPr>
          <w:rFonts w:hint="eastAsia" w:ascii="Times New Roman" w:hAnsi="Times New Roman" w:cs="Times New Roman"/>
          <w:szCs w:val="24"/>
        </w:rPr>
        <w:t xml:space="preserve">, </w:t>
      </w:r>
      <w:bookmarkEnd w:id="17"/>
      <w:r>
        <w:rPr>
          <w:rFonts w:ascii="Times New Roman" w:hAnsi="Times New Roman" w:cs="Times New Roman"/>
          <w:szCs w:val="24"/>
        </w:rPr>
        <w:t>captur</w:t>
      </w:r>
      <w:r>
        <w:rPr>
          <w:rFonts w:hint="eastAsia" w:ascii="Times New Roman" w:hAnsi="Times New Roman" w:cs="Times New Roman"/>
          <w:szCs w:val="24"/>
        </w:rPr>
        <w:t xml:space="preserve">ing the extent of </w:t>
      </w:r>
      <w:r>
        <w:rPr>
          <w:rFonts w:ascii="Times New Roman" w:hAnsi="Times New Roman" w:cs="Times New Roman"/>
          <w:szCs w:val="24"/>
        </w:rPr>
        <w:t xml:space="preserve">financial support </w:t>
      </w:r>
      <w:r>
        <w:rPr>
          <w:rFonts w:hint="eastAsia" w:ascii="Times New Roman" w:hAnsi="Times New Roman" w:cs="Times New Roman"/>
          <w:szCs w:val="24"/>
        </w:rPr>
        <w:t xml:space="preserve">for </w:t>
      </w:r>
      <w:r>
        <w:rPr>
          <w:rFonts w:ascii="Times New Roman" w:hAnsi="Times New Roman" w:cs="Times New Roman"/>
          <w:szCs w:val="24"/>
        </w:rPr>
        <w:t>agricultural green transformation. APR</w:t>
      </w:r>
      <w:r>
        <w:rPr>
          <w:rFonts w:hint="eastAsia" w:ascii="Times New Roman" w:hAnsi="Times New Roman" w:cs="Times New Roman"/>
          <w:szCs w:val="24"/>
        </w:rPr>
        <w:t xml:space="preserve"> is</w:t>
      </w:r>
      <w:r>
        <w:rPr>
          <w:rFonts w:ascii="Times New Roman" w:hAnsi="Times New Roman" w:cs="Times New Roman"/>
          <w:szCs w:val="24"/>
        </w:rPr>
        <w:t xml:space="preserve"> defined as the ratio of agricultural insurance expenditure to</w:t>
      </w:r>
      <w:r>
        <w:rPr>
          <w:rFonts w:hint="eastAsia" w:ascii="Times New Roman" w:hAnsi="Times New Roman" w:cs="Times New Roman"/>
          <w:szCs w:val="24"/>
        </w:rPr>
        <w:t xml:space="preserve"> total</w:t>
      </w:r>
      <w:r>
        <w:rPr>
          <w:rFonts w:ascii="Times New Roman" w:hAnsi="Times New Roman" w:cs="Times New Roman"/>
          <w:szCs w:val="24"/>
        </w:rPr>
        <w:t xml:space="preserve"> agricultural income,</w:t>
      </w:r>
      <w:r>
        <w:rPr>
          <w:rFonts w:hint="eastAsia" w:ascii="Times New Roman" w:hAnsi="Times New Roman" w:cs="Times New Roman"/>
          <w:szCs w:val="24"/>
          <w:lang w:val="en-US" w:eastAsia="zh-CN"/>
        </w:rPr>
        <w:t xml:space="preserve"> </w:t>
      </w:r>
      <w:r>
        <w:rPr>
          <w:rFonts w:ascii="Times New Roman" w:hAnsi="Times New Roman" w:cs="Times New Roman"/>
          <w:szCs w:val="24"/>
        </w:rPr>
        <w:t>reflect</w:t>
      </w:r>
      <w:r>
        <w:rPr>
          <w:rFonts w:hint="eastAsia" w:ascii="Times New Roman" w:hAnsi="Times New Roman" w:cs="Times New Roman"/>
          <w:szCs w:val="24"/>
          <w:lang w:val="en-US" w:eastAsia="zh-CN"/>
        </w:rPr>
        <w:t>ing</w:t>
      </w:r>
      <w:r>
        <w:rPr>
          <w:rFonts w:ascii="Times New Roman" w:hAnsi="Times New Roman" w:cs="Times New Roman"/>
          <w:szCs w:val="24"/>
        </w:rPr>
        <w:t xml:space="preserve"> the capacity of the agricultural insurance system to provide risk coverage and financial protection.</w:t>
      </w:r>
      <w:r>
        <w:rPr>
          <w:rFonts w:hint="eastAsia" w:ascii="Times New Roman" w:hAnsi="Times New Roman" w:cs="Times New Roman"/>
          <w:szCs w:val="24"/>
        </w:rPr>
        <w:t xml:space="preserve"> </w:t>
      </w:r>
      <w:r>
        <w:rPr>
          <w:rFonts w:ascii="Times New Roman" w:hAnsi="Times New Roman" w:cs="Times New Roman"/>
          <w:szCs w:val="24"/>
        </w:rPr>
        <w:t xml:space="preserve">The nomenclature of variables is provided in </w:t>
      </w:r>
      <w:r>
        <w:rPr>
          <w:rFonts w:ascii="Times New Roman" w:hAnsi="Times New Roman" w:cs="Times New Roman"/>
          <w:color w:val="0070C0"/>
          <w:szCs w:val="24"/>
        </w:rPr>
        <w:fldChar w:fldCharType="begin"/>
      </w:r>
      <w:r>
        <w:rPr>
          <w:rFonts w:ascii="Times New Roman" w:hAnsi="Times New Roman" w:cs="Times New Roman"/>
          <w:color w:val="0070C0"/>
          <w:szCs w:val="24"/>
        </w:rPr>
        <w:instrText xml:space="preserve"> REF _Ref216115957 \h  \* MERGEFORMAT </w:instrText>
      </w:r>
      <w:r>
        <w:rPr>
          <w:rFonts w:ascii="Times New Roman" w:hAnsi="Times New Roman" w:cs="Times New Roman"/>
          <w:color w:val="0070C0"/>
          <w:szCs w:val="24"/>
        </w:rPr>
        <w:fldChar w:fldCharType="separate"/>
      </w:r>
      <w:r>
        <w:rPr>
          <w:rFonts w:hint="eastAsia" w:ascii="Times New Roman" w:hAnsi="Times New Roman" w:cs="Times New Roman"/>
          <w:color w:val="0070C0"/>
        </w:rPr>
        <w:t xml:space="preserve">Fig </w:t>
      </w:r>
      <w:r>
        <w:rPr>
          <w:rFonts w:ascii="Times New Roman" w:hAnsi="Times New Roman" w:cs="Times New Roman"/>
          <w:color w:val="0070C0"/>
        </w:rPr>
        <w:t>2</w:t>
      </w:r>
      <w:r>
        <w:rPr>
          <w:rFonts w:ascii="Times New Roman" w:hAnsi="Times New Roman" w:cs="Times New Roman"/>
          <w:color w:val="0070C0"/>
          <w:szCs w:val="24"/>
        </w:rPr>
        <w:fldChar w:fldCharType="end"/>
      </w:r>
      <w:r>
        <w:rPr>
          <w:rFonts w:hint="eastAsia" w:ascii="Times New Roman" w:hAnsi="Times New Roman" w:cs="Times New Roman"/>
          <w:szCs w:val="24"/>
        </w:rPr>
        <w:t>.</w:t>
      </w:r>
    </w:p>
    <w:p w14:paraId="17D71BED">
      <w:pPr>
        <w:spacing w:line="480" w:lineRule="auto"/>
        <w:rPr>
          <w:rFonts w:ascii="Times New Roman" w:hAnsi="Times New Roman" w:cs="Times New Roman"/>
          <w:szCs w:val="24"/>
        </w:rPr>
      </w:pPr>
      <w:r>
        <w:rPr>
          <w:rFonts w:hint="eastAsia" w:ascii="Times New Roman" w:hAnsi="Times New Roman" w:cs="Times New Roman"/>
          <w:szCs w:val="24"/>
        </w:rPr>
        <w:drawing>
          <wp:inline distT="0" distB="0" distL="0" distR="0">
            <wp:extent cx="5278120" cy="1582420"/>
            <wp:effectExtent l="0" t="0" r="0" b="0"/>
            <wp:docPr id="17287789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778990" name="图片 1"/>
                    <pic:cNvPicPr>
                      <a:picLocks noChangeAspect="1"/>
                    </pic:cNvPicPr>
                  </pic:nvPicPr>
                  <pic:blipFill>
                    <a:blip r:embed="rId5"/>
                    <a:stretch>
                      <a:fillRect/>
                    </a:stretch>
                  </pic:blipFill>
                  <pic:spPr>
                    <a:xfrm>
                      <a:off x="0" y="0"/>
                      <a:ext cx="5278120" cy="1582420"/>
                    </a:xfrm>
                    <a:prstGeom prst="rect">
                      <a:avLst/>
                    </a:prstGeom>
                  </pic:spPr>
                </pic:pic>
              </a:graphicData>
            </a:graphic>
          </wp:inline>
        </w:drawing>
      </w:r>
    </w:p>
    <w:p w14:paraId="5AD30BFE">
      <w:pPr>
        <w:pStyle w:val="11"/>
        <w:jc w:val="center"/>
        <w:rPr>
          <w:rFonts w:hint="eastAsia" w:ascii="Times New Roman" w:hAnsi="Times New Roman" w:cs="Times New Roman" w:eastAsiaTheme="minorEastAsia"/>
          <w:sz w:val="18"/>
          <w:szCs w:val="18"/>
        </w:rPr>
      </w:pPr>
      <w:bookmarkStart w:id="18" w:name="_Ref216115957"/>
      <w:r>
        <w:rPr>
          <w:rFonts w:hint="eastAsia" w:ascii="Times New Roman" w:hAnsi="Times New Roman" w:cs="Times New Roman" w:eastAsiaTheme="minorEastAsia"/>
          <w:sz w:val="18"/>
          <w:szCs w:val="18"/>
        </w:rPr>
        <w:t xml:space="preserve">Fig </w:t>
      </w:r>
      <w:r>
        <w:rPr>
          <w:rFonts w:hint="eastAsia" w:ascii="Times New Roman" w:hAnsi="Times New Roman" w:cs="Times New Roman" w:eastAsiaTheme="minorEastAsia"/>
          <w:sz w:val="18"/>
          <w:szCs w:val="18"/>
        </w:rPr>
        <w:fldChar w:fldCharType="begin"/>
      </w:r>
      <w:r>
        <w:rPr>
          <w:rFonts w:hint="eastAsia" w:ascii="Times New Roman" w:hAnsi="Times New Roman" w:cs="Times New Roman" w:eastAsiaTheme="minorEastAsia"/>
          <w:sz w:val="18"/>
          <w:szCs w:val="18"/>
        </w:rPr>
        <w:instrText xml:space="preserve"> SEQ Fig \* ARABIC </w:instrText>
      </w:r>
      <w:r>
        <w:rPr>
          <w:rFonts w:hint="eastAsia" w:ascii="Times New Roman" w:hAnsi="Times New Roman" w:cs="Times New Roman" w:eastAsiaTheme="minorEastAsia"/>
          <w:sz w:val="18"/>
          <w:szCs w:val="18"/>
        </w:rPr>
        <w:fldChar w:fldCharType="separate"/>
      </w:r>
      <w:r>
        <w:rPr>
          <w:rFonts w:ascii="Times New Roman" w:hAnsi="Times New Roman" w:cs="Times New Roman" w:eastAsiaTheme="minorEastAsia"/>
          <w:sz w:val="18"/>
          <w:szCs w:val="18"/>
        </w:rPr>
        <w:t>2</w:t>
      </w:r>
      <w:r>
        <w:rPr>
          <w:rFonts w:hint="eastAsia" w:ascii="Times New Roman" w:hAnsi="Times New Roman" w:cs="Times New Roman" w:eastAsiaTheme="minorEastAsia"/>
          <w:sz w:val="18"/>
          <w:szCs w:val="18"/>
        </w:rPr>
        <w:fldChar w:fldCharType="end"/>
      </w:r>
      <w:bookmarkEnd w:id="18"/>
      <w:r>
        <w:rPr>
          <w:rFonts w:hint="eastAsia" w:ascii="Times New Roman" w:hAnsi="Times New Roman" w:cs="Times New Roman" w:eastAsiaTheme="minorEastAsia"/>
          <w:sz w:val="18"/>
          <w:szCs w:val="18"/>
        </w:rPr>
        <w:t xml:space="preserve"> </w:t>
      </w:r>
      <w:r>
        <w:rPr>
          <w:rFonts w:ascii="Times New Roman" w:hAnsi="Times New Roman" w:cs="Times New Roman" w:eastAsiaTheme="minorEastAsia"/>
          <w:sz w:val="18"/>
          <w:szCs w:val="18"/>
        </w:rPr>
        <w:t>Nomenclature of Variables</w:t>
      </w:r>
      <w:r>
        <w:rPr>
          <w:rFonts w:hint="eastAsia" w:ascii="Times New Roman" w:hAnsi="Times New Roman" w:cs="Times New Roman" w:eastAsiaTheme="minorEastAsia"/>
          <w:sz w:val="18"/>
          <w:szCs w:val="18"/>
        </w:rPr>
        <w:t>.</w:t>
      </w:r>
    </w:p>
    <w:p w14:paraId="791F2702"/>
    <w:p w14:paraId="0CBD5D0E">
      <w:pPr>
        <w:spacing w:after="120" w:afterLines="50" w:line="480" w:lineRule="auto"/>
        <w:rPr>
          <w:rFonts w:hint="eastAsia" w:ascii="Times New Roman" w:hAnsi="Times New Roman" w:cs="Times New Roman"/>
          <w:b/>
          <w:bCs/>
          <w:szCs w:val="24"/>
        </w:rPr>
      </w:pPr>
      <w:bookmarkStart w:id="19" w:name="OLE_LINK17"/>
      <w:r>
        <w:rPr>
          <w:rFonts w:hint="eastAsia" w:ascii="Times New Roman" w:hAnsi="Times New Roman" w:cs="Times New Roman"/>
          <w:b/>
          <w:bCs/>
          <w:szCs w:val="24"/>
        </w:rPr>
        <w:t>3.2. Data Sources</w:t>
      </w:r>
    </w:p>
    <w:p w14:paraId="57A78C32">
      <w:pPr>
        <w:spacing w:line="480" w:lineRule="auto"/>
        <w:ind w:firstLine="480"/>
        <w:rPr>
          <w:rFonts w:ascii="Times New Roman" w:hAnsi="Times New Roman" w:cs="Times New Roman"/>
          <w:szCs w:val="24"/>
        </w:rPr>
      </w:pPr>
      <w:r>
        <w:rPr>
          <w:rFonts w:ascii="Times New Roman" w:hAnsi="Times New Roman" w:cs="Times New Roman"/>
          <w:szCs w:val="24"/>
        </w:rPr>
        <w:t>The data utilized in this study were primarily obtained from the National Bureau of Statistics, the China Rural Statistical Yearbook, the China Population and Employment Statistical Yearbook, the China Insurance Yearbook, the China Energy Statistical Yearbook, the China Environmental Statistical Yearbook, the EPS Database, and provincial statistical yearbooks. The analysis employs panel data covering 30 provinces, municipalities, and autonomous regions in China (excluding Tibet Autonomous Region, Hong Kong SAR, Macau SAR, and Taiwan Province</w:t>
      </w:r>
      <w:r>
        <w:rPr>
          <w:rFonts w:hint="eastAsia" w:ascii="Times New Roman" w:hAnsi="Times New Roman" w:cs="Times New Roman"/>
          <w:szCs w:val="24"/>
        </w:rPr>
        <w:t xml:space="preserve"> of China</w:t>
      </w:r>
      <w:r>
        <w:rPr>
          <w:rFonts w:ascii="Times New Roman" w:hAnsi="Times New Roman" w:cs="Times New Roman"/>
          <w:szCs w:val="24"/>
        </w:rPr>
        <w:t xml:space="preserve"> due to data availability) for the period 2012</w:t>
      </w:r>
      <w:r>
        <w:rPr>
          <w:rFonts w:hint="eastAsia" w:ascii="Times New Roman" w:hAnsi="Times New Roman" w:cs="Times New Roman"/>
          <w:szCs w:val="24"/>
        </w:rPr>
        <w:t>-</w:t>
      </w:r>
      <w:r>
        <w:rPr>
          <w:rFonts w:ascii="Times New Roman" w:hAnsi="Times New Roman" w:cs="Times New Roman"/>
          <w:szCs w:val="24"/>
        </w:rPr>
        <w:t>2023. Missing values were addressed through linear interpolation. Descriptive statistics for all variables are</w:t>
      </w:r>
      <w:r>
        <w:rPr>
          <w:rFonts w:hint="eastAsia" w:ascii="Times New Roman" w:hAnsi="Times New Roman" w:cs="Times New Roman"/>
          <w:szCs w:val="24"/>
        </w:rPr>
        <w:t xml:space="preserve"> </w:t>
      </w:r>
      <w:r>
        <w:rPr>
          <w:rFonts w:ascii="Times New Roman" w:hAnsi="Times New Roman" w:cs="Times New Roman"/>
          <w:szCs w:val="24"/>
        </w:rPr>
        <w:t xml:space="preserve">summarized in </w:t>
      </w:r>
      <w:r>
        <w:rPr>
          <w:rFonts w:ascii="Times New Roman" w:hAnsi="Times New Roman" w:cs="Times New Roman"/>
          <w:color w:val="0070C0"/>
          <w:szCs w:val="24"/>
        </w:rPr>
        <w:fldChar w:fldCharType="begin"/>
      </w:r>
      <w:r>
        <w:rPr>
          <w:rFonts w:ascii="Times New Roman" w:hAnsi="Times New Roman" w:cs="Times New Roman"/>
          <w:color w:val="0070C0"/>
          <w:szCs w:val="24"/>
        </w:rPr>
        <w:instrText xml:space="preserve"> REF _Ref216098823 \h  \* MERGEFORMAT </w:instrText>
      </w:r>
      <w:r>
        <w:rPr>
          <w:rFonts w:ascii="Times New Roman" w:hAnsi="Times New Roman" w:cs="Times New Roman"/>
          <w:color w:val="0070C0"/>
          <w:szCs w:val="24"/>
        </w:rPr>
        <w:fldChar w:fldCharType="separate"/>
      </w:r>
      <w:r>
        <w:rPr>
          <w:rFonts w:hint="eastAsia" w:ascii="Times New Roman" w:hAnsi="Times New Roman" w:cs="Times New Roman"/>
          <w:color w:val="0070C0"/>
          <w:szCs w:val="24"/>
        </w:rPr>
        <w:t xml:space="preserve">Table </w:t>
      </w:r>
      <w:r>
        <w:rPr>
          <w:rFonts w:ascii="Times New Roman" w:hAnsi="Times New Roman" w:cs="Times New Roman"/>
          <w:color w:val="0070C0"/>
          <w:szCs w:val="24"/>
        </w:rPr>
        <w:t>3</w:t>
      </w:r>
      <w:r>
        <w:rPr>
          <w:rFonts w:ascii="Times New Roman" w:hAnsi="Times New Roman" w:cs="Times New Roman"/>
          <w:color w:val="0070C0"/>
          <w:szCs w:val="24"/>
        </w:rPr>
        <w:fldChar w:fldCharType="end"/>
      </w:r>
      <w:r>
        <w:rPr>
          <w:rFonts w:hint="eastAsia" w:ascii="Times New Roman" w:hAnsi="Times New Roman" w:cs="Times New Roman"/>
          <w:szCs w:val="24"/>
        </w:rPr>
        <w:t>.</w:t>
      </w:r>
      <w:r>
        <w:rPr>
          <w:rFonts w:ascii="Times New Roman" w:hAnsi="Times New Roman" w:cs="Times New Roman"/>
          <w:szCs w:val="24"/>
        </w:rPr>
        <w:t xml:space="preserve"> Variance inflation factor (VIF)</w:t>
      </w:r>
      <w:r>
        <w:rPr>
          <w:rFonts w:hint="eastAsia" w:ascii="Times New Roman" w:hAnsi="Times New Roman" w:cs="Times New Roman"/>
          <w:szCs w:val="24"/>
        </w:rPr>
        <w:t xml:space="preserve"> </w:t>
      </w:r>
      <w:r>
        <w:rPr>
          <w:rFonts w:ascii="Times New Roman" w:hAnsi="Times New Roman" w:cs="Times New Roman"/>
          <w:szCs w:val="24"/>
        </w:rPr>
        <w:t xml:space="preserve">diagnostics confirm that all 1/VIF values exceed 0.1, </w:t>
      </w:r>
      <w:r>
        <w:rPr>
          <w:rFonts w:hint="eastAsia" w:ascii="Times New Roman" w:hAnsi="Times New Roman" w:cs="Times New Roman"/>
          <w:szCs w:val="24"/>
        </w:rPr>
        <w:t>indicat</w:t>
      </w:r>
      <w:r>
        <w:rPr>
          <w:rFonts w:ascii="Times New Roman" w:hAnsi="Times New Roman" w:cs="Times New Roman"/>
          <w:szCs w:val="24"/>
        </w:rPr>
        <w:t xml:space="preserve">ing that multicollinearity </w:t>
      </w:r>
      <w:r>
        <w:rPr>
          <w:rFonts w:hint="eastAsia" w:ascii="Times New Roman" w:hAnsi="Times New Roman" w:cs="Times New Roman"/>
          <w:szCs w:val="24"/>
        </w:rPr>
        <w:t>is</w:t>
      </w:r>
      <w:r>
        <w:rPr>
          <w:rFonts w:ascii="Times New Roman" w:hAnsi="Times New Roman" w:cs="Times New Roman"/>
          <w:szCs w:val="24"/>
        </w:rPr>
        <w:t xml:space="preserve"> not a </w:t>
      </w:r>
      <w:r>
        <w:rPr>
          <w:rFonts w:hint="eastAsia" w:ascii="Times New Roman" w:hAnsi="Times New Roman" w:cs="Times New Roman"/>
          <w:szCs w:val="24"/>
        </w:rPr>
        <w:t>significant issue</w:t>
      </w:r>
      <w:r>
        <w:rPr>
          <w:rFonts w:ascii="Times New Roman" w:hAnsi="Times New Roman" w:cs="Times New Roman"/>
          <w:szCs w:val="24"/>
        </w:rPr>
        <w:t xml:space="preserve"> in the</w:t>
      </w:r>
      <w:r>
        <w:rPr>
          <w:rFonts w:hint="eastAsia" w:ascii="Times New Roman" w:hAnsi="Times New Roman" w:cs="Times New Roman"/>
          <w:szCs w:val="24"/>
        </w:rPr>
        <w:t xml:space="preserve"> estimated </w:t>
      </w:r>
      <w:r>
        <w:rPr>
          <w:rFonts w:ascii="Times New Roman" w:hAnsi="Times New Roman" w:cs="Times New Roman"/>
          <w:szCs w:val="24"/>
        </w:rPr>
        <w:t>model.</w:t>
      </w:r>
    </w:p>
    <w:bookmarkEnd w:id="19"/>
    <w:p w14:paraId="60A89BDB">
      <w:pPr>
        <w:pStyle w:val="56"/>
        <w:spacing w:before="240"/>
        <w:rPr>
          <w:rFonts w:eastAsia="宋体"/>
          <w:sz w:val="24"/>
          <w:szCs w:val="24"/>
        </w:rPr>
      </w:pPr>
      <w:bookmarkStart w:id="20" w:name="_Ref216098823"/>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t>3</w:t>
      </w:r>
      <w:r>
        <w:rPr>
          <w:rFonts w:hint="eastAsia"/>
        </w:rPr>
        <w:fldChar w:fldCharType="end"/>
      </w:r>
      <w:bookmarkEnd w:id="20"/>
      <w:r>
        <w:rPr>
          <w:rFonts w:hint="eastAsia" w:eastAsia="宋体"/>
          <w:sz w:val="24"/>
          <w:szCs w:val="24"/>
        </w:rPr>
        <w:t xml:space="preserve"> </w:t>
      </w:r>
    </w:p>
    <w:p w14:paraId="4D052576">
      <w:pPr>
        <w:spacing w:line="480" w:lineRule="auto"/>
        <w:jc w:val="left"/>
        <w:rPr>
          <w:rFonts w:ascii="Times New Roman" w:hAnsi="Times New Roman" w:eastAsia="宋体"/>
          <w:sz w:val="18"/>
          <w:szCs w:val="18"/>
        </w:rPr>
      </w:pPr>
      <w:r>
        <w:rPr>
          <w:rFonts w:hint="eastAsia" w:ascii="Times New Roman" w:hAnsi="Times New Roman" w:eastAsia="宋体"/>
          <w:sz w:val="18"/>
          <w:szCs w:val="18"/>
        </w:rPr>
        <w:t>The results of descriptive statistics.</w:t>
      </w:r>
    </w:p>
    <w:tbl>
      <w:tblPr>
        <w:tblStyle w:val="50"/>
        <w:tblW w:w="0" w:type="auto"/>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21"/>
        <w:gridCol w:w="1107"/>
        <w:gridCol w:w="1212"/>
        <w:gridCol w:w="1212"/>
        <w:gridCol w:w="1212"/>
        <w:gridCol w:w="1212"/>
        <w:gridCol w:w="1030"/>
      </w:tblGrid>
      <w:tr w14:paraId="5949B15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321" w:type="dxa"/>
            <w:tcBorders>
              <w:top w:val="single" w:color="auto" w:sz="12" w:space="0"/>
              <w:left w:val="nil"/>
              <w:bottom w:val="single" w:color="auto" w:sz="6" w:space="0"/>
              <w:right w:val="nil"/>
              <w:insideH w:val="single" w:sz="6" w:space="0"/>
              <w:insideV w:val="nil"/>
              <w:tl2br w:val="nil"/>
              <w:tr2bl w:val="nil"/>
            </w:tcBorders>
          </w:tcPr>
          <w:p w14:paraId="6FE2969A">
            <w:pPr>
              <w:widowControl/>
              <w:spacing w:line="360" w:lineRule="exact"/>
              <w:jc w:val="left"/>
              <w:rPr>
                <w:rFonts w:ascii="Times New Roman" w:hAnsi="Times New Roman" w:eastAsia="宋体" w:cs="Times New Roman"/>
                <w:i/>
                <w:iCs/>
                <w:sz w:val="18"/>
                <w:szCs w:val="18"/>
              </w:rPr>
            </w:pPr>
            <w:r>
              <w:rPr>
                <w:rFonts w:ascii="Times New Roman" w:hAnsi="Times New Roman" w:eastAsia="宋体" w:cs="Times New Roman"/>
                <w:i/>
                <w:iCs/>
                <w:sz w:val="18"/>
                <w:szCs w:val="18"/>
              </w:rPr>
              <w:t>VarName</w:t>
            </w:r>
          </w:p>
        </w:tc>
        <w:tc>
          <w:tcPr>
            <w:tcW w:w="1107" w:type="dxa"/>
            <w:tcBorders>
              <w:top w:val="single" w:color="auto" w:sz="12" w:space="0"/>
              <w:bottom w:val="single" w:color="auto" w:sz="6" w:space="0"/>
              <w:right w:val="nil"/>
              <w:insideH w:val="single" w:sz="6" w:space="0"/>
              <w:insideV w:val="nil"/>
              <w:tl2br w:val="nil"/>
              <w:tr2bl w:val="nil"/>
            </w:tcBorders>
          </w:tcPr>
          <w:p w14:paraId="62B87E11">
            <w:pPr>
              <w:widowControl/>
              <w:spacing w:line="360" w:lineRule="exact"/>
              <w:jc w:val="left"/>
              <w:rPr>
                <w:rFonts w:ascii="Times New Roman" w:hAnsi="Times New Roman" w:eastAsia="宋体" w:cs="Times New Roman"/>
                <w:i/>
                <w:iCs/>
                <w:sz w:val="18"/>
                <w:szCs w:val="18"/>
              </w:rPr>
            </w:pPr>
            <w:r>
              <w:rPr>
                <w:rFonts w:ascii="Times New Roman" w:hAnsi="Times New Roman" w:eastAsia="宋体" w:cs="Times New Roman"/>
                <w:i/>
                <w:iCs/>
                <w:sz w:val="18"/>
                <w:szCs w:val="18"/>
              </w:rPr>
              <w:t>Obs</w:t>
            </w:r>
          </w:p>
        </w:tc>
        <w:tc>
          <w:tcPr>
            <w:tcW w:w="1212" w:type="dxa"/>
            <w:tcBorders>
              <w:top w:val="single" w:color="auto" w:sz="12" w:space="0"/>
              <w:bottom w:val="single" w:color="auto" w:sz="6" w:space="0"/>
              <w:right w:val="nil"/>
              <w:insideH w:val="single" w:sz="6" w:space="0"/>
              <w:insideV w:val="nil"/>
              <w:tl2br w:val="nil"/>
              <w:tr2bl w:val="nil"/>
            </w:tcBorders>
          </w:tcPr>
          <w:p w14:paraId="5AC93036">
            <w:pPr>
              <w:widowControl/>
              <w:spacing w:line="360" w:lineRule="exact"/>
              <w:jc w:val="left"/>
              <w:rPr>
                <w:rFonts w:ascii="Times New Roman" w:hAnsi="Times New Roman" w:eastAsia="宋体" w:cs="Times New Roman"/>
                <w:i/>
                <w:iCs/>
                <w:sz w:val="18"/>
                <w:szCs w:val="18"/>
              </w:rPr>
            </w:pPr>
            <w:r>
              <w:rPr>
                <w:rFonts w:ascii="Times New Roman" w:hAnsi="Times New Roman" w:eastAsia="宋体" w:cs="Times New Roman"/>
                <w:i/>
                <w:iCs/>
                <w:sz w:val="18"/>
                <w:szCs w:val="18"/>
              </w:rPr>
              <w:t>Mean</w:t>
            </w:r>
          </w:p>
        </w:tc>
        <w:tc>
          <w:tcPr>
            <w:tcW w:w="1212" w:type="dxa"/>
            <w:tcBorders>
              <w:top w:val="single" w:color="auto" w:sz="12" w:space="0"/>
              <w:bottom w:val="single" w:color="auto" w:sz="6" w:space="0"/>
              <w:right w:val="nil"/>
              <w:insideH w:val="single" w:sz="6" w:space="0"/>
              <w:insideV w:val="nil"/>
              <w:tl2br w:val="nil"/>
              <w:tr2bl w:val="nil"/>
            </w:tcBorders>
          </w:tcPr>
          <w:p w14:paraId="734B5FE1">
            <w:pPr>
              <w:widowControl/>
              <w:spacing w:line="360" w:lineRule="exact"/>
              <w:jc w:val="left"/>
              <w:rPr>
                <w:rFonts w:ascii="Times New Roman" w:hAnsi="Times New Roman" w:eastAsia="宋体" w:cs="Times New Roman"/>
                <w:i/>
                <w:iCs/>
                <w:sz w:val="18"/>
                <w:szCs w:val="18"/>
              </w:rPr>
            </w:pPr>
            <w:r>
              <w:rPr>
                <w:rFonts w:ascii="Times New Roman" w:hAnsi="Times New Roman" w:eastAsia="宋体" w:cs="Times New Roman"/>
                <w:i/>
                <w:iCs/>
                <w:sz w:val="18"/>
                <w:szCs w:val="18"/>
              </w:rPr>
              <w:t>SD</w:t>
            </w:r>
          </w:p>
        </w:tc>
        <w:tc>
          <w:tcPr>
            <w:tcW w:w="1212" w:type="dxa"/>
            <w:tcBorders>
              <w:top w:val="single" w:color="auto" w:sz="12" w:space="0"/>
              <w:bottom w:val="single" w:color="auto" w:sz="6" w:space="0"/>
              <w:right w:val="nil"/>
              <w:insideH w:val="single" w:sz="6" w:space="0"/>
              <w:insideV w:val="nil"/>
              <w:tl2br w:val="nil"/>
              <w:tr2bl w:val="nil"/>
            </w:tcBorders>
          </w:tcPr>
          <w:p w14:paraId="2DAA39E5">
            <w:pPr>
              <w:widowControl/>
              <w:spacing w:line="360" w:lineRule="exact"/>
              <w:jc w:val="left"/>
              <w:rPr>
                <w:rFonts w:ascii="Times New Roman" w:hAnsi="Times New Roman" w:eastAsia="宋体" w:cs="Times New Roman"/>
                <w:i/>
                <w:iCs/>
                <w:sz w:val="18"/>
                <w:szCs w:val="18"/>
              </w:rPr>
            </w:pPr>
            <w:r>
              <w:rPr>
                <w:rFonts w:ascii="Times New Roman" w:hAnsi="Times New Roman" w:eastAsia="宋体" w:cs="Times New Roman"/>
                <w:i/>
                <w:iCs/>
                <w:sz w:val="18"/>
                <w:szCs w:val="18"/>
              </w:rPr>
              <w:t>Min</w:t>
            </w:r>
          </w:p>
        </w:tc>
        <w:tc>
          <w:tcPr>
            <w:tcW w:w="1212" w:type="dxa"/>
            <w:tcBorders>
              <w:top w:val="single" w:color="auto" w:sz="12" w:space="0"/>
              <w:bottom w:val="single" w:color="auto" w:sz="6" w:space="0"/>
              <w:right w:val="nil"/>
              <w:insideH w:val="single" w:sz="6" w:space="0"/>
              <w:insideV w:val="nil"/>
              <w:tl2br w:val="nil"/>
              <w:tr2bl w:val="nil"/>
            </w:tcBorders>
          </w:tcPr>
          <w:p w14:paraId="767BC31B">
            <w:pPr>
              <w:widowControl/>
              <w:spacing w:line="360" w:lineRule="exact"/>
              <w:jc w:val="left"/>
              <w:rPr>
                <w:rFonts w:ascii="Times New Roman" w:hAnsi="Times New Roman" w:eastAsia="宋体" w:cs="Times New Roman"/>
                <w:i/>
                <w:iCs/>
                <w:sz w:val="18"/>
                <w:szCs w:val="18"/>
              </w:rPr>
            </w:pPr>
            <w:r>
              <w:rPr>
                <w:rFonts w:ascii="Times New Roman" w:hAnsi="Times New Roman" w:eastAsia="宋体" w:cs="Times New Roman"/>
                <w:i/>
                <w:iCs/>
                <w:sz w:val="18"/>
                <w:szCs w:val="18"/>
              </w:rPr>
              <w:t>Max</w:t>
            </w:r>
          </w:p>
        </w:tc>
        <w:tc>
          <w:tcPr>
            <w:tcW w:w="1030" w:type="dxa"/>
            <w:tcBorders>
              <w:top w:val="single" w:color="auto" w:sz="12" w:space="0"/>
              <w:bottom w:val="single" w:color="auto" w:sz="6" w:space="0"/>
              <w:right w:val="nil"/>
              <w:insideH w:val="single" w:sz="6" w:space="0"/>
              <w:insideV w:val="nil"/>
              <w:tl2br w:val="nil"/>
              <w:tr2bl w:val="nil"/>
            </w:tcBorders>
          </w:tcPr>
          <w:p w14:paraId="04F8D680">
            <w:pPr>
              <w:widowControl/>
              <w:spacing w:line="360" w:lineRule="exact"/>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1/VIF</w:t>
            </w:r>
          </w:p>
        </w:tc>
      </w:tr>
      <w:tr w14:paraId="7B74AC0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321" w:type="dxa"/>
          </w:tcPr>
          <w:p w14:paraId="7B25ED7C">
            <w:pPr>
              <w:widowControl/>
              <w:spacing w:line="360" w:lineRule="exact"/>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AER</w:t>
            </w:r>
          </w:p>
        </w:tc>
        <w:tc>
          <w:tcPr>
            <w:tcW w:w="1107" w:type="dxa"/>
          </w:tcPr>
          <w:p w14:paraId="7914B0CB">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212" w:type="dxa"/>
          </w:tcPr>
          <w:p w14:paraId="29CF5A9A">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0.2612</w:t>
            </w:r>
          </w:p>
        </w:tc>
        <w:tc>
          <w:tcPr>
            <w:tcW w:w="1212" w:type="dxa"/>
          </w:tcPr>
          <w:p w14:paraId="12D38D5B">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0.0918</w:t>
            </w:r>
          </w:p>
        </w:tc>
        <w:tc>
          <w:tcPr>
            <w:tcW w:w="1212" w:type="dxa"/>
          </w:tcPr>
          <w:p w14:paraId="58E29381">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0.0967</w:t>
            </w:r>
          </w:p>
        </w:tc>
        <w:tc>
          <w:tcPr>
            <w:tcW w:w="1212" w:type="dxa"/>
          </w:tcPr>
          <w:p w14:paraId="0741A597">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0.5464</w:t>
            </w:r>
          </w:p>
        </w:tc>
        <w:tc>
          <w:tcPr>
            <w:tcW w:w="1030" w:type="dxa"/>
          </w:tcPr>
          <w:p w14:paraId="7C7A50A4">
            <w:pPr>
              <w:widowControl/>
              <w:spacing w:line="360" w:lineRule="exact"/>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w:t>
            </w:r>
          </w:p>
        </w:tc>
      </w:tr>
      <w:tr w14:paraId="632DB00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321" w:type="dxa"/>
          </w:tcPr>
          <w:p w14:paraId="45F8332D">
            <w:pPr>
              <w:widowControl/>
              <w:spacing w:line="360" w:lineRule="exact"/>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NTU</w:t>
            </w:r>
          </w:p>
        </w:tc>
        <w:tc>
          <w:tcPr>
            <w:tcW w:w="1107" w:type="dxa"/>
          </w:tcPr>
          <w:p w14:paraId="5DD02CD2">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212" w:type="dxa"/>
          </w:tcPr>
          <w:p w14:paraId="16546E93">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0.3037</w:t>
            </w:r>
          </w:p>
        </w:tc>
        <w:tc>
          <w:tcPr>
            <w:tcW w:w="1212" w:type="dxa"/>
          </w:tcPr>
          <w:p w14:paraId="4022C1AA">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0.1083</w:t>
            </w:r>
          </w:p>
        </w:tc>
        <w:tc>
          <w:tcPr>
            <w:tcW w:w="1212" w:type="dxa"/>
          </w:tcPr>
          <w:p w14:paraId="106C5C72">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0.0960</w:t>
            </w:r>
          </w:p>
        </w:tc>
        <w:tc>
          <w:tcPr>
            <w:tcW w:w="1212" w:type="dxa"/>
          </w:tcPr>
          <w:p w14:paraId="2823320B">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0.6203</w:t>
            </w:r>
          </w:p>
        </w:tc>
        <w:tc>
          <w:tcPr>
            <w:tcW w:w="1030" w:type="dxa"/>
          </w:tcPr>
          <w:p w14:paraId="6943A56A">
            <w:pPr>
              <w:widowControl/>
              <w:spacing w:line="360" w:lineRule="exact"/>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0.4507</w:t>
            </w:r>
          </w:p>
        </w:tc>
      </w:tr>
      <w:tr w14:paraId="103FF37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321" w:type="dxa"/>
          </w:tcPr>
          <w:p w14:paraId="6AC77C59">
            <w:pPr>
              <w:widowControl/>
              <w:spacing w:line="360" w:lineRule="exact"/>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EPI</w:t>
            </w:r>
          </w:p>
        </w:tc>
        <w:tc>
          <w:tcPr>
            <w:tcW w:w="1107" w:type="dxa"/>
          </w:tcPr>
          <w:p w14:paraId="01FA40D2">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212" w:type="dxa"/>
          </w:tcPr>
          <w:p w14:paraId="78956DB6">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0.2179</w:t>
            </w:r>
          </w:p>
        </w:tc>
        <w:tc>
          <w:tcPr>
            <w:tcW w:w="1212" w:type="dxa"/>
          </w:tcPr>
          <w:p w14:paraId="179ECC85">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0.5279</w:t>
            </w:r>
          </w:p>
        </w:tc>
        <w:tc>
          <w:tcPr>
            <w:tcW w:w="1212" w:type="dxa"/>
          </w:tcPr>
          <w:p w14:paraId="4218B600">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0.0148</w:t>
            </w:r>
          </w:p>
        </w:tc>
        <w:tc>
          <w:tcPr>
            <w:tcW w:w="1212" w:type="dxa"/>
          </w:tcPr>
          <w:p w14:paraId="490AF3DE">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4.0868</w:t>
            </w:r>
          </w:p>
        </w:tc>
        <w:tc>
          <w:tcPr>
            <w:tcW w:w="1030" w:type="dxa"/>
          </w:tcPr>
          <w:p w14:paraId="443A6BA2">
            <w:pPr>
              <w:widowControl/>
              <w:spacing w:line="360" w:lineRule="exact"/>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0.5920</w:t>
            </w:r>
          </w:p>
        </w:tc>
      </w:tr>
      <w:tr w14:paraId="6C8B512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321" w:type="dxa"/>
          </w:tcPr>
          <w:p w14:paraId="006C700F">
            <w:pPr>
              <w:widowControl/>
              <w:spacing w:line="360" w:lineRule="exact"/>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AII</w:t>
            </w:r>
          </w:p>
        </w:tc>
        <w:tc>
          <w:tcPr>
            <w:tcW w:w="1107" w:type="dxa"/>
          </w:tcPr>
          <w:p w14:paraId="5B138FAB">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212" w:type="dxa"/>
          </w:tcPr>
          <w:p w14:paraId="187B7103">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0.0143</w:t>
            </w:r>
          </w:p>
        </w:tc>
        <w:tc>
          <w:tcPr>
            <w:tcW w:w="1212" w:type="dxa"/>
          </w:tcPr>
          <w:p w14:paraId="52AB2F85">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0.0169</w:t>
            </w:r>
          </w:p>
        </w:tc>
        <w:tc>
          <w:tcPr>
            <w:tcW w:w="1212" w:type="dxa"/>
          </w:tcPr>
          <w:p w14:paraId="0C4ADA56">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0.0008</w:t>
            </w:r>
          </w:p>
        </w:tc>
        <w:tc>
          <w:tcPr>
            <w:tcW w:w="1212" w:type="dxa"/>
          </w:tcPr>
          <w:p w14:paraId="2EA6C0A1">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0.1319</w:t>
            </w:r>
          </w:p>
        </w:tc>
        <w:tc>
          <w:tcPr>
            <w:tcW w:w="1030" w:type="dxa"/>
          </w:tcPr>
          <w:p w14:paraId="4E389A7B">
            <w:pPr>
              <w:widowControl/>
              <w:spacing w:line="360" w:lineRule="exact"/>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0.6433</w:t>
            </w:r>
          </w:p>
        </w:tc>
      </w:tr>
      <w:tr w14:paraId="7B28B9A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321" w:type="dxa"/>
          </w:tcPr>
          <w:p w14:paraId="37B5114C">
            <w:pPr>
              <w:widowControl/>
              <w:spacing w:line="360" w:lineRule="exact"/>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RND</w:t>
            </w:r>
          </w:p>
        </w:tc>
        <w:tc>
          <w:tcPr>
            <w:tcW w:w="1107" w:type="dxa"/>
          </w:tcPr>
          <w:p w14:paraId="38655911">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212" w:type="dxa"/>
          </w:tcPr>
          <w:p w14:paraId="2316AD74">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0.9744</w:t>
            </w:r>
          </w:p>
        </w:tc>
        <w:tc>
          <w:tcPr>
            <w:tcW w:w="1212" w:type="dxa"/>
          </w:tcPr>
          <w:p w14:paraId="38091189">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0.4884</w:t>
            </w:r>
          </w:p>
        </w:tc>
        <w:tc>
          <w:tcPr>
            <w:tcW w:w="1212" w:type="dxa"/>
          </w:tcPr>
          <w:p w14:paraId="4EF278CE">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0.0920</w:t>
            </w:r>
          </w:p>
        </w:tc>
        <w:tc>
          <w:tcPr>
            <w:tcW w:w="1212" w:type="dxa"/>
          </w:tcPr>
          <w:p w14:paraId="47114DFA">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2.2681</w:t>
            </w:r>
          </w:p>
        </w:tc>
        <w:tc>
          <w:tcPr>
            <w:tcW w:w="1030" w:type="dxa"/>
          </w:tcPr>
          <w:p w14:paraId="7DE9532C">
            <w:pPr>
              <w:widowControl/>
              <w:spacing w:line="360" w:lineRule="exact"/>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0.7395</w:t>
            </w:r>
          </w:p>
        </w:tc>
      </w:tr>
      <w:tr w14:paraId="46F581A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321" w:type="dxa"/>
          </w:tcPr>
          <w:p w14:paraId="6466AFC1">
            <w:pPr>
              <w:widowControl/>
              <w:spacing w:line="360" w:lineRule="exact"/>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AMP</w:t>
            </w:r>
          </w:p>
        </w:tc>
        <w:tc>
          <w:tcPr>
            <w:tcW w:w="1107" w:type="dxa"/>
          </w:tcPr>
          <w:p w14:paraId="52715D99">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212" w:type="dxa"/>
          </w:tcPr>
          <w:p w14:paraId="6220924B">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1.8796</w:t>
            </w:r>
          </w:p>
        </w:tc>
        <w:tc>
          <w:tcPr>
            <w:tcW w:w="1212" w:type="dxa"/>
          </w:tcPr>
          <w:p w14:paraId="16992DAD">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1.0789</w:t>
            </w:r>
          </w:p>
        </w:tc>
        <w:tc>
          <w:tcPr>
            <w:tcW w:w="1212" w:type="dxa"/>
          </w:tcPr>
          <w:p w14:paraId="0D7A04F1">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0.3263</w:t>
            </w:r>
          </w:p>
        </w:tc>
        <w:tc>
          <w:tcPr>
            <w:tcW w:w="1212" w:type="dxa"/>
          </w:tcPr>
          <w:p w14:paraId="1D1C42C8">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7.2885</w:t>
            </w:r>
          </w:p>
        </w:tc>
        <w:tc>
          <w:tcPr>
            <w:tcW w:w="1030" w:type="dxa"/>
          </w:tcPr>
          <w:p w14:paraId="603AB318">
            <w:pPr>
              <w:widowControl/>
              <w:spacing w:line="360" w:lineRule="exact"/>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0.7989</w:t>
            </w:r>
          </w:p>
        </w:tc>
      </w:tr>
      <w:tr w14:paraId="6471A54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c>
          <w:tcPr>
            <w:tcW w:w="1321" w:type="dxa"/>
          </w:tcPr>
          <w:p w14:paraId="537BA6A7">
            <w:pPr>
              <w:widowControl/>
              <w:spacing w:line="360" w:lineRule="exact"/>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FCR</w:t>
            </w:r>
          </w:p>
        </w:tc>
        <w:tc>
          <w:tcPr>
            <w:tcW w:w="1107" w:type="dxa"/>
          </w:tcPr>
          <w:p w14:paraId="49B53D58">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212" w:type="dxa"/>
          </w:tcPr>
          <w:p w14:paraId="48FF294B">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0.3391</w:t>
            </w:r>
          </w:p>
        </w:tc>
        <w:tc>
          <w:tcPr>
            <w:tcW w:w="1212" w:type="dxa"/>
          </w:tcPr>
          <w:p w14:paraId="7FDFF14B">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0.1801</w:t>
            </w:r>
          </w:p>
        </w:tc>
        <w:tc>
          <w:tcPr>
            <w:tcW w:w="1212" w:type="dxa"/>
          </w:tcPr>
          <w:p w14:paraId="4D38BC49">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0.0402</w:t>
            </w:r>
          </w:p>
        </w:tc>
        <w:tc>
          <w:tcPr>
            <w:tcW w:w="1212" w:type="dxa"/>
          </w:tcPr>
          <w:p w14:paraId="149C280B">
            <w:pPr>
              <w:widowControl/>
              <w:spacing w:line="360" w:lineRule="exact"/>
              <w:jc w:val="left"/>
              <w:rPr>
                <w:rFonts w:ascii="Times New Roman" w:hAnsi="Times New Roman" w:eastAsia="宋体" w:cs="Times New Roman"/>
                <w:sz w:val="18"/>
                <w:szCs w:val="18"/>
              </w:rPr>
            </w:pPr>
            <w:r>
              <w:rPr>
                <w:rFonts w:ascii="Times New Roman" w:hAnsi="Times New Roman" w:eastAsia="宋体" w:cs="Times New Roman"/>
                <w:sz w:val="18"/>
                <w:szCs w:val="18"/>
              </w:rPr>
              <w:t>0.6680</w:t>
            </w:r>
          </w:p>
        </w:tc>
        <w:tc>
          <w:tcPr>
            <w:tcW w:w="1030" w:type="dxa"/>
          </w:tcPr>
          <w:p w14:paraId="45B8FA93">
            <w:pPr>
              <w:widowControl/>
              <w:spacing w:line="360" w:lineRule="exact"/>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0.8260</w:t>
            </w:r>
          </w:p>
        </w:tc>
      </w:tr>
    </w:tbl>
    <w:p w14:paraId="76DF7B3F">
      <w:pPr>
        <w:rPr>
          <w:rFonts w:hint="eastAsia" w:ascii="宋体" w:hAnsi="宋体" w:eastAsia="宋体"/>
          <w:sz w:val="24"/>
          <w:szCs w:val="24"/>
        </w:rPr>
      </w:pPr>
    </w:p>
    <w:p w14:paraId="76881EE3">
      <w:pPr>
        <w:spacing w:after="120" w:afterLines="50" w:line="480" w:lineRule="auto"/>
        <w:rPr>
          <w:rFonts w:hint="eastAsia" w:ascii="Times New Roman" w:hAnsi="Times New Roman" w:cs="Times New Roman"/>
          <w:b/>
          <w:bCs/>
          <w:szCs w:val="24"/>
        </w:rPr>
      </w:pPr>
      <w:r>
        <w:rPr>
          <w:rFonts w:hint="eastAsia" w:ascii="Times New Roman" w:hAnsi="Times New Roman" w:cs="Times New Roman"/>
          <w:b/>
          <w:bCs/>
          <w:szCs w:val="24"/>
        </w:rPr>
        <w:t>3.3. Model Specification</w:t>
      </w:r>
    </w:p>
    <w:p w14:paraId="5F15E62B">
      <w:pPr>
        <w:spacing w:line="480" w:lineRule="auto"/>
        <w:ind w:firstLine="480"/>
        <w:rPr>
          <w:rFonts w:ascii="Times New Roman" w:hAnsi="Times New Roman" w:cs="Times New Roman"/>
          <w:szCs w:val="24"/>
        </w:rPr>
      </w:pPr>
      <w:r>
        <w:rPr>
          <w:rFonts w:ascii="Times New Roman" w:hAnsi="Times New Roman" w:cs="Times New Roman"/>
          <w:szCs w:val="24"/>
        </w:rPr>
        <w:t>To empirically examine the impact of NTU on AER, a two-way fixed-effects panel model is constructed as follows:</w:t>
      </w:r>
    </w:p>
    <w:p w14:paraId="662BFBA0">
      <w:pPr>
        <w:pStyle w:val="45"/>
        <w:spacing w:line="480" w:lineRule="auto"/>
        <w:ind w:firstLine="482"/>
        <w:rPr>
          <w:rFonts w:hint="eastAsia"/>
        </w:rPr>
      </w:pPr>
      <w:r>
        <w:rPr>
          <w:rFonts w:hint="eastAsia"/>
        </w:rPr>
        <w:tab/>
      </w:r>
      <w:r>
        <w:rPr>
          <w:rFonts w:hint="eastAsia"/>
          <w:position w:val="-12"/>
          <w:sz w:val="21"/>
          <w:szCs w:val="21"/>
        </w:rPr>
        <w:object>
          <v:shape id="_x0000_i1025" o:spt="75" type="#_x0000_t75" style="height:18pt;width:237.85pt;" o:ole="t" filled="f" o:preferrelative="t" stroked="f" coordsize="21600,21600">
            <v:path/>
            <v:fill on="f" focussize="0,0"/>
            <v:stroke on="f" joinstyle="miter"/>
            <v:imagedata r:id="rId7" o:title=""/>
            <o:lock v:ext="edit" aspectratio="t"/>
            <w10:wrap type="none"/>
            <w10:anchorlock/>
          </v:shape>
          <o:OLEObject Type="Embed" ProgID="Equation.DSMT4" ShapeID="_x0000_i1025" DrawAspect="Content" ObjectID="_1468075725" r:id="rId6">
            <o:LockedField>false</o:LockedField>
          </o:OLEObject>
        </w:object>
      </w:r>
      <w:r>
        <w:rPr>
          <w:sz w:val="21"/>
          <w:szCs w:val="21"/>
        </w:rPr>
        <w:tab/>
      </w:r>
      <w:r>
        <w:rPr>
          <w:rFonts w:ascii="Times New Roman" w:hAnsi="Times New Roman" w:cs="Times New Roman"/>
        </w:rPr>
        <w:t>（1）</w:t>
      </w:r>
    </w:p>
    <w:p w14:paraId="40611A91">
      <w:pPr>
        <w:pStyle w:val="45"/>
        <w:spacing w:line="480" w:lineRule="auto"/>
        <w:rPr>
          <w:rFonts w:ascii="Times New Roman" w:hAnsi="Times New Roman" w:cs="Times New Roman"/>
          <w:sz w:val="21"/>
          <w:szCs w:val="21"/>
        </w:rPr>
      </w:pPr>
      <w:r>
        <w:rPr>
          <w:rFonts w:ascii="Times New Roman" w:hAnsi="Times New Roman" w:cs="Times New Roman"/>
          <w:sz w:val="21"/>
          <w:szCs w:val="21"/>
        </w:rPr>
        <w:t>where</w:t>
      </w:r>
      <w:r>
        <w:rPr>
          <w:rFonts w:ascii="Times New Roman" w:hAnsi="Times New Roman" w:cs="Times New Roman"/>
          <w:position w:val="-12"/>
          <w:sz w:val="21"/>
          <w:szCs w:val="21"/>
        </w:rPr>
        <w:object>
          <v:shape id="_x0000_i1026" o:spt="75" type="#_x0000_t75" style="height:18pt;width:30.45pt;" o:ole="t" filled="f" o:preferrelative="t" stroked="f" coordsize="21600,21600">
            <v:path/>
            <v:fill on="f" focussize="0,0"/>
            <v:stroke on="f" joinstyle="miter"/>
            <v:imagedata r:id="rId9" o:title=""/>
            <o:lock v:ext="edit" aspectratio="t"/>
            <w10:wrap type="none"/>
            <w10:anchorlock/>
          </v:shape>
          <o:OLEObject Type="Embed" ProgID="Equation.DSMT4" ShapeID="_x0000_i1026" DrawAspect="Content" ObjectID="_1468075726" r:id="rId8">
            <o:LockedField>false</o:LockedField>
          </o:OLEObject>
        </w:object>
      </w:r>
      <w:r>
        <w:rPr>
          <w:rFonts w:ascii="Times New Roman" w:hAnsi="Times New Roman" w:cs="Times New Roman"/>
          <w:sz w:val="21"/>
          <w:szCs w:val="21"/>
        </w:rPr>
        <w:t>and</w:t>
      </w:r>
      <w:r>
        <w:rPr>
          <w:rFonts w:ascii="Times New Roman" w:hAnsi="Times New Roman" w:cs="Times New Roman"/>
          <w:position w:val="-12"/>
          <w:sz w:val="21"/>
          <w:szCs w:val="21"/>
        </w:rPr>
        <w:object>
          <v:shape id="_x0000_i1027" o:spt="75" type="#_x0000_t75" style="height:18pt;width:33.45pt;" o:ole="t" filled="f" o:preferrelative="t" stroked="f" coordsize="21600,21600">
            <v:path/>
            <v:fill on="f" focussize="0,0"/>
            <v:stroke on="f" joinstyle="miter"/>
            <v:imagedata r:id="rId11" o:title=""/>
            <o:lock v:ext="edit" aspectratio="t"/>
            <w10:wrap type="none"/>
            <w10:anchorlock/>
          </v:shape>
          <o:OLEObject Type="Embed" ProgID="Equation.DSMT4" ShapeID="_x0000_i1027" DrawAspect="Content" ObjectID="_1468075727" r:id="rId10">
            <o:LockedField>false</o:LockedField>
          </o:OLEObject>
        </w:object>
      </w:r>
      <w:r>
        <w:rPr>
          <w:rFonts w:ascii="Times New Roman" w:hAnsi="Times New Roman" w:cs="Times New Roman"/>
          <w:sz w:val="21"/>
          <w:szCs w:val="21"/>
        </w:rPr>
        <w:t xml:space="preserve">denote the </w:t>
      </w:r>
      <w:r>
        <w:rPr>
          <w:rFonts w:hint="eastAsia" w:ascii="Times New Roman" w:hAnsi="Times New Roman" w:cs="Times New Roman"/>
          <w:sz w:val="21"/>
          <w:szCs w:val="21"/>
          <w:lang w:val="en-US" w:eastAsia="zh-CN"/>
        </w:rPr>
        <w:t>AER</w:t>
      </w:r>
      <w:r>
        <w:rPr>
          <w:rFonts w:ascii="Times New Roman" w:hAnsi="Times New Roman" w:cs="Times New Roman"/>
          <w:sz w:val="21"/>
          <w:szCs w:val="21"/>
        </w:rPr>
        <w:t xml:space="preserve"> and </w:t>
      </w:r>
      <w:r>
        <w:rPr>
          <w:rFonts w:hint="eastAsia" w:ascii="Times New Roman" w:hAnsi="Times New Roman" w:cs="Times New Roman"/>
          <w:sz w:val="21"/>
          <w:szCs w:val="21"/>
          <w:lang w:val="en-US" w:eastAsia="zh-CN"/>
        </w:rPr>
        <w:t>NTU</w:t>
      </w:r>
      <w:r>
        <w:rPr>
          <w:rFonts w:ascii="Times New Roman" w:hAnsi="Times New Roman" w:cs="Times New Roman"/>
          <w:sz w:val="21"/>
          <w:szCs w:val="21"/>
        </w:rPr>
        <w:t xml:space="preserve"> level of province </w:t>
      </w:r>
      <w:r>
        <w:rPr>
          <w:rFonts w:ascii="Times New Roman" w:hAnsi="Times New Roman" w:cs="Times New Roman"/>
          <w:position w:val="-6"/>
          <w:sz w:val="21"/>
          <w:szCs w:val="21"/>
        </w:rPr>
        <w:object>
          <v:shape id="_x0000_i1028" o:spt="75" type="#_x0000_t75" style="height:12.85pt;width:6.85pt;" o:ole="t" filled="f" o:preferrelative="t" stroked="f" coordsize="21600,21600">
            <v:path/>
            <v:fill on="f" focussize="0,0"/>
            <v:stroke on="f" joinstyle="miter"/>
            <v:imagedata r:id="rId13" o:title=""/>
            <o:lock v:ext="edit" aspectratio="t"/>
            <w10:wrap type="none"/>
            <w10:anchorlock/>
          </v:shape>
          <o:OLEObject Type="Embed" ProgID="Equation.DSMT4" ShapeID="_x0000_i1028" DrawAspect="Content" ObjectID="_1468075728" r:id="rId12">
            <o:LockedField>false</o:LockedField>
          </o:OLEObject>
        </w:object>
      </w:r>
      <w:r>
        <w:rPr>
          <w:rFonts w:ascii="Times New Roman" w:hAnsi="Times New Roman" w:cs="Times New Roman"/>
          <w:sz w:val="21"/>
          <w:szCs w:val="21"/>
        </w:rPr>
        <w:t xml:space="preserve"> in year</w:t>
      </w:r>
      <w:r>
        <w:rPr>
          <w:rFonts w:ascii="Times New Roman" w:hAnsi="Times New Roman" w:cs="Times New Roman"/>
          <w:position w:val="-6"/>
          <w:sz w:val="21"/>
          <w:szCs w:val="21"/>
        </w:rPr>
        <w:object>
          <v:shape id="_x0000_i1029" o:spt="75" type="#_x0000_t75" style="height:12pt;width:6.85pt;" o:ole="t" filled="f" o:preferrelative="t" stroked="f" coordsize="21600,21600">
            <v:path/>
            <v:fill on="f" focussize="0,0"/>
            <v:stroke on="f" joinstyle="miter"/>
            <v:imagedata r:id="rId15" o:title=""/>
            <o:lock v:ext="edit" aspectratio="t"/>
            <w10:wrap type="none"/>
            <w10:anchorlock/>
          </v:shape>
          <o:OLEObject Type="Embed" ProgID="Equation.DSMT4" ShapeID="_x0000_i1029" DrawAspect="Content" ObjectID="_1468075729" r:id="rId14">
            <o:LockedField>false</o:LockedField>
          </o:OLEObject>
        </w:object>
      </w:r>
      <w:r>
        <w:rPr>
          <w:rFonts w:ascii="Times New Roman" w:hAnsi="Times New Roman" w:cs="Times New Roman"/>
          <w:sz w:val="21"/>
          <w:szCs w:val="21"/>
        </w:rPr>
        <w:t xml:space="preserve">, respectively. </w:t>
      </w:r>
      <w:r>
        <w:rPr>
          <w:rFonts w:ascii="Times New Roman" w:hAnsi="Times New Roman" w:cs="Times New Roman"/>
          <w:position w:val="-12"/>
          <w:sz w:val="21"/>
          <w:szCs w:val="21"/>
        </w:rPr>
        <w:object>
          <v:shape id="_x0000_i1030" o:spt="75" type="#_x0000_t75" style="height:18.85pt;width:48.85pt;" o:ole="t" filled="f" o:preferrelative="t" stroked="f" coordsize="21600,21600">
            <v:path/>
            <v:fill on="f" focussize="0,0"/>
            <v:stroke on="f" joinstyle="miter"/>
            <v:imagedata r:id="rId17" o:title=""/>
            <o:lock v:ext="edit" aspectratio="t"/>
            <w10:wrap type="none"/>
            <w10:anchorlock/>
          </v:shape>
          <o:OLEObject Type="Embed" ProgID="Equation.DSMT4" ShapeID="_x0000_i1030" DrawAspect="Content" ObjectID="_1468075730" r:id="rId16">
            <o:LockedField>false</o:LockedField>
          </o:OLEObject>
        </w:object>
      </w:r>
      <w:r>
        <w:rPr>
          <w:rFonts w:ascii="Times New Roman" w:hAnsi="Times New Roman" w:cs="Times New Roman"/>
          <w:sz w:val="21"/>
          <w:szCs w:val="21"/>
        </w:rPr>
        <w:t xml:space="preserve">represents a vector of control variables. </w:t>
      </w:r>
      <w:r>
        <w:rPr>
          <w:rFonts w:ascii="Times New Roman" w:hAnsi="Times New Roman" w:cs="Times New Roman"/>
          <w:position w:val="-12"/>
          <w:sz w:val="21"/>
          <w:szCs w:val="21"/>
        </w:rPr>
        <w:object>
          <v:shape id="_x0000_i1031" o:spt="75" type="#_x0000_t75" style="height:18pt;width:12.45pt;" o:ole="t" filled="f" o:preferrelative="t" stroked="f" coordsize="21600,21600">
            <v:path/>
            <v:fill on="f" focussize="0,0"/>
            <v:stroke on="f" joinstyle="miter"/>
            <v:imagedata r:id="rId19" o:title=""/>
            <o:lock v:ext="edit" aspectratio="t"/>
            <w10:wrap type="none"/>
            <w10:anchorlock/>
          </v:shape>
          <o:OLEObject Type="Embed" ProgID="Equation.DSMT4" ShapeID="_x0000_i1031" DrawAspect="Content" ObjectID="_1468075731" r:id="rId18">
            <o:LockedField>false</o:LockedField>
          </o:OLEObject>
        </w:object>
      </w:r>
      <w:r>
        <w:rPr>
          <w:rFonts w:ascii="Times New Roman" w:hAnsi="Times New Roman" w:cs="Times New Roman"/>
          <w:sz w:val="21"/>
          <w:szCs w:val="21"/>
        </w:rPr>
        <w:t>and</w:t>
      </w:r>
      <w:r>
        <w:rPr>
          <w:rFonts w:ascii="Times New Roman" w:hAnsi="Times New Roman" w:cs="Times New Roman"/>
          <w:position w:val="-12"/>
          <w:sz w:val="21"/>
          <w:szCs w:val="21"/>
        </w:rPr>
        <w:object>
          <v:shape id="_x0000_i1032" o:spt="75" type="#_x0000_t75" style="height:18pt;width:12pt;" o:ole="t" filled="f" o:preferrelative="t" stroked="f" coordsize="21600,21600">
            <v:path/>
            <v:fill on="f" focussize="0,0"/>
            <v:stroke on="f" joinstyle="miter"/>
            <v:imagedata r:id="rId21" o:title=""/>
            <o:lock v:ext="edit" aspectratio="t"/>
            <w10:wrap type="none"/>
            <w10:anchorlock/>
          </v:shape>
          <o:OLEObject Type="Embed" ProgID="Equation.DSMT4" ShapeID="_x0000_i1032" DrawAspect="Content" ObjectID="_1468075732" r:id="rId20">
            <o:LockedField>false</o:LockedField>
          </o:OLEObject>
        </w:object>
      </w:r>
      <w:r>
        <w:rPr>
          <w:rFonts w:ascii="Times New Roman" w:hAnsi="Times New Roman" w:cs="Times New Roman"/>
          <w:sz w:val="21"/>
          <w:szCs w:val="21"/>
        </w:rPr>
        <w:t xml:space="preserve">denote individual and time fixed effects, respectively. </w:t>
      </w:r>
      <w:r>
        <w:rPr>
          <w:rFonts w:ascii="Times New Roman" w:hAnsi="Times New Roman" w:cs="Times New Roman"/>
          <w:position w:val="-12"/>
          <w:sz w:val="21"/>
          <w:szCs w:val="21"/>
        </w:rPr>
        <w:object>
          <v:shape id="_x0000_i1033" o:spt="75" type="#_x0000_t75" style="height:18pt;width:14.55pt;" o:ole="t" filled="f" o:preferrelative="t" stroked="f" coordsize="21600,21600">
            <v:path/>
            <v:fill on="f" focussize="0,0"/>
            <v:stroke on="f" joinstyle="miter"/>
            <v:imagedata r:id="rId23" o:title=""/>
            <o:lock v:ext="edit" aspectratio="t"/>
            <w10:wrap type="none"/>
            <w10:anchorlock/>
          </v:shape>
          <o:OLEObject Type="Embed" ProgID="Equation.DSMT4" ShapeID="_x0000_i1033" DrawAspect="Content" ObjectID="_1468075733" r:id="rId22">
            <o:LockedField>false</o:LockedField>
          </o:OLEObject>
        </w:object>
      </w:r>
      <w:r>
        <w:rPr>
          <w:rFonts w:ascii="Times New Roman" w:hAnsi="Times New Roman" w:cs="Times New Roman"/>
          <w:sz w:val="21"/>
          <w:szCs w:val="21"/>
        </w:rPr>
        <w:t>is the error term.</w:t>
      </w:r>
    </w:p>
    <w:p w14:paraId="684506AA">
      <w:pPr>
        <w:spacing w:line="480" w:lineRule="auto"/>
        <w:ind w:firstLine="482"/>
        <w:rPr>
          <w:rFonts w:hint="eastAsia" w:ascii="宋体" w:hAnsi="宋体" w:eastAsia="宋体"/>
          <w:szCs w:val="21"/>
        </w:rPr>
      </w:pPr>
      <w:r>
        <w:rPr>
          <w:rFonts w:ascii="Times New Roman" w:hAnsi="Times New Roman" w:eastAsia="宋体"/>
          <w:szCs w:val="21"/>
        </w:rPr>
        <w:t>To </w:t>
      </w:r>
      <w:r>
        <w:rPr>
          <w:rFonts w:hint="default" w:ascii="Times New Roman" w:hAnsi="Times New Roman" w:eastAsia="宋体"/>
          <w:szCs w:val="21"/>
        </w:rPr>
        <w:t>investigate the un</w:t>
      </w:r>
      <w:r>
        <w:rPr>
          <w:rFonts w:hint="default" w:ascii="Times New Roman" w:hAnsi="Times New Roman" w:eastAsia="宋体" w:cs="Times New Roman"/>
          <w:kern w:val="2"/>
          <w:sz w:val="21"/>
          <w:szCs w:val="21"/>
          <w:lang w:val="en-US" w:eastAsia="zh-CN" w:bidi="ar-SA"/>
        </w:rPr>
        <w:t>derlying</w:t>
      </w:r>
      <w:r>
        <w:rPr>
          <w:rFonts w:ascii="Times New Roman" w:hAnsi="Times New Roman" w:eastAsia="宋体" w:cs="Times New Roman"/>
          <w:kern w:val="2"/>
          <w:sz w:val="21"/>
          <w:szCs w:val="21"/>
          <w:lang w:val="en-US" w:eastAsia="zh-CN" w:bidi="ar-SA"/>
        </w:rPr>
        <w:t xml:space="preserve"> mechanisms </w:t>
      </w:r>
      <w:r>
        <w:rPr>
          <w:rFonts w:hint="eastAsia" w:ascii="Times New Roman" w:hAnsi="Times New Roman" w:eastAsia="宋体" w:cs="Times New Roman"/>
          <w:kern w:val="2"/>
          <w:sz w:val="21"/>
          <w:szCs w:val="21"/>
          <w:lang w:val="en-US" w:eastAsia="zh-CN" w:bidi="ar-SA"/>
        </w:rPr>
        <w:t>of</w:t>
      </w:r>
      <w:r>
        <w:rPr>
          <w:rFonts w:ascii="Times New Roman" w:hAnsi="Times New Roman" w:eastAsia="宋体" w:cs="Times New Roman"/>
          <w:kern w:val="2"/>
          <w:sz w:val="21"/>
          <w:szCs w:val="21"/>
          <w:lang w:val="en-US" w:eastAsia="zh-CN" w:bidi="ar-SA"/>
        </w:rPr>
        <w:t xml:space="preserve"> NTU</w:t>
      </w:r>
      <w:r>
        <w:rPr>
          <w:rFonts w:hint="default" w:ascii="Times New Roman" w:hAnsi="Times New Roman" w:eastAsia="宋体" w:cs="Times New Roman"/>
          <w:kern w:val="2"/>
          <w:sz w:val="21"/>
          <w:szCs w:val="21"/>
          <w:lang w:val="en-US" w:eastAsia="zh-CN" w:bidi="ar-SA"/>
        </w:rPr>
        <w:t>’</w:t>
      </w:r>
      <w:r>
        <w:rPr>
          <w:rFonts w:hint="eastAsia" w:ascii="Times New Roman" w:hAnsi="Times New Roman" w:eastAsia="宋体" w:cs="Times New Roman"/>
          <w:kern w:val="2"/>
          <w:sz w:val="21"/>
          <w:szCs w:val="21"/>
          <w:lang w:val="en-US" w:eastAsia="zh-CN" w:bidi="ar-SA"/>
        </w:rPr>
        <w:t>s impact on</w:t>
      </w:r>
      <w:r>
        <w:rPr>
          <w:rFonts w:ascii="Times New Roman" w:hAnsi="Times New Roman" w:eastAsia="宋体" w:cs="Times New Roman"/>
          <w:kern w:val="2"/>
          <w:sz w:val="21"/>
          <w:szCs w:val="21"/>
          <w:lang w:val="en-US" w:eastAsia="zh-CN" w:bidi="ar-SA"/>
        </w:rPr>
        <w:t xml:space="preserve"> AER, </w:t>
      </w:r>
      <w:r>
        <w:rPr>
          <w:rFonts w:hint="default" w:ascii="Times New Roman" w:hAnsi="Times New Roman" w:eastAsia="宋体" w:cs="Times New Roman"/>
          <w:kern w:val="2"/>
          <w:sz w:val="21"/>
          <w:szCs w:val="21"/>
          <w:lang w:val="en-US" w:eastAsia="zh-CN" w:bidi="ar-SA"/>
        </w:rPr>
        <w:t>we estimate a series of models</w:t>
      </w:r>
      <w:r>
        <w:rPr>
          <w:rFonts w:ascii="Times New Roman" w:hAnsi="Times New Roman" w:eastAsia="宋体" w:cs="Times New Roman"/>
          <w:kern w:val="2"/>
          <w:sz w:val="21"/>
          <w:szCs w:val="21"/>
          <w:lang w:val="en-US" w:eastAsia="zh-CN" w:bidi="ar-SA"/>
        </w:rPr>
        <w:t xml:space="preserve">. </w:t>
      </w:r>
      <w:r>
        <w:rPr>
          <w:rFonts w:ascii="Times New Roman" w:hAnsi="Times New Roman" w:eastAsia="宋体"/>
          <w:szCs w:val="21"/>
        </w:rPr>
        <w:t>Specifically, Model (2) is employed to examine the mediating roles of GTI and AEA:</w:t>
      </w:r>
    </w:p>
    <w:p w14:paraId="3B1D875E">
      <w:pPr>
        <w:pStyle w:val="45"/>
        <w:spacing w:line="480" w:lineRule="auto"/>
        <w:ind w:firstLine="482"/>
        <w:rPr>
          <w:rFonts w:hint="eastAsia"/>
        </w:rPr>
      </w:pPr>
      <w:r>
        <w:rPr>
          <w:rFonts w:hint="eastAsia"/>
        </w:rPr>
        <w:tab/>
      </w:r>
      <w:r>
        <w:rPr>
          <w:rFonts w:hint="eastAsia"/>
          <w:position w:val="-12"/>
          <w:sz w:val="21"/>
          <w:szCs w:val="21"/>
        </w:rPr>
        <w:object>
          <v:shape id="_x0000_i1034" o:spt="75" type="#_x0000_t75" style="height:18pt;width:237.45pt;" o:ole="t" filled="f" o:preferrelative="t" stroked="f" coordsize="21600,21600">
            <v:path/>
            <v:fill on="f" focussize="0,0"/>
            <v:stroke on="f" joinstyle="miter"/>
            <v:imagedata r:id="rId25" o:title=""/>
            <o:lock v:ext="edit" aspectratio="t"/>
            <w10:wrap type="none"/>
            <w10:anchorlock/>
          </v:shape>
          <o:OLEObject Type="Embed" ProgID="Equation.DSMT4" ShapeID="_x0000_i1034" DrawAspect="Content" ObjectID="_1468075734" r:id="rId24">
            <o:LockedField>false</o:LockedField>
          </o:OLEObject>
        </w:object>
      </w:r>
      <w:r>
        <w:tab/>
      </w:r>
      <w:r>
        <w:rPr>
          <w:rFonts w:ascii="Times New Roman" w:hAnsi="Times New Roman" w:cs="Times New Roman"/>
        </w:rPr>
        <w:t>（2）</w:t>
      </w:r>
    </w:p>
    <w:p w14:paraId="76DEF24B">
      <w:pPr>
        <w:spacing w:line="480" w:lineRule="auto"/>
        <w:rPr>
          <w:rFonts w:hint="eastAsia" w:eastAsiaTheme="minorEastAsia"/>
          <w:lang w:val="en-US" w:eastAsia="zh-CN"/>
        </w:rPr>
      </w:pPr>
      <w:r>
        <w:rPr>
          <w:rFonts w:hint="eastAsia" w:ascii="Times New Roman" w:hAnsi="Times New Roman" w:eastAsia="宋体"/>
          <w:szCs w:val="21"/>
          <w:lang w:val="en-US" w:eastAsia="zh-CN"/>
        </w:rPr>
        <w:t>where</w:t>
      </w:r>
      <w:r>
        <w:rPr>
          <w:rFonts w:hint="eastAsia"/>
          <w:position w:val="-12"/>
          <w:sz w:val="24"/>
          <w:szCs w:val="24"/>
        </w:rPr>
        <w:object>
          <v:shape id="_x0000_i1035" o:spt="75" type="#_x0000_t75" style="height:18pt;width:30pt;" o:ole="t" filled="f" o:preferrelative="t" stroked="f" coordsize="21600,21600">
            <v:path/>
            <v:fill on="f" focussize="0,0"/>
            <v:stroke on="f" joinstyle="miter"/>
            <v:imagedata r:id="rId27" o:title=""/>
            <o:lock v:ext="edit" aspectratio="t"/>
            <w10:wrap type="none"/>
            <w10:anchorlock/>
          </v:shape>
          <o:OLEObject Type="Embed" ProgID="Equation.DSMT4" ShapeID="_x0000_i1035" DrawAspect="Content" ObjectID="_1468075735" r:id="rId26">
            <o:LockedField>false</o:LockedField>
          </o:OLEObject>
        </w:object>
      </w:r>
      <w:r>
        <w:rPr>
          <w:rFonts w:hint="default" w:ascii="Times New Roman" w:hAnsi="Times New Roman" w:eastAsia="宋体"/>
          <w:szCs w:val="21"/>
        </w:rPr>
        <w:t xml:space="preserve">denotes the </w:t>
      </w:r>
      <w:r>
        <w:rPr>
          <w:rFonts w:hint="eastAsia" w:ascii="Times New Roman" w:hAnsi="Times New Roman" w:eastAsia="宋体"/>
          <w:szCs w:val="21"/>
          <w:lang w:val="en-US" w:eastAsia="zh-CN"/>
        </w:rPr>
        <w:t xml:space="preserve">set of </w:t>
      </w:r>
      <w:r>
        <w:rPr>
          <w:rFonts w:hint="default" w:ascii="Times New Roman" w:hAnsi="Times New Roman" w:eastAsia="宋体"/>
          <w:szCs w:val="21"/>
        </w:rPr>
        <w:t>media</w:t>
      </w:r>
      <w:r>
        <w:rPr>
          <w:rFonts w:hint="eastAsia" w:ascii="Times New Roman" w:hAnsi="Times New Roman" w:eastAsia="宋体"/>
          <w:szCs w:val="21"/>
          <w:lang w:val="en-US" w:eastAsia="zh-CN"/>
        </w:rPr>
        <w:t>tors(i.e. GTI and AEA)</w:t>
      </w:r>
      <w:r>
        <w:rPr>
          <w:rFonts w:hint="eastAsia" w:ascii="Times New Roman" w:hAnsi="Times New Roman" w:eastAsia="宋体"/>
          <w:szCs w:val="21"/>
        </w:rPr>
        <w:t>.</w:t>
      </w:r>
      <w:r>
        <w:rPr>
          <w:rFonts w:hint="eastAsia" w:ascii="Times New Roman" w:hAnsi="Times New Roman" w:eastAsia="宋体"/>
          <w:szCs w:val="21"/>
          <w:lang w:val="en-US" w:eastAsia="zh-CN"/>
        </w:rPr>
        <w:t xml:space="preserve"> </w:t>
      </w:r>
      <w:r>
        <w:rPr>
          <w:rFonts w:hint="default" w:ascii="Times New Roman" w:hAnsi="Times New Roman" w:eastAsia="宋体"/>
          <w:szCs w:val="21"/>
        </w:rPr>
        <w:t>In turn, Model (3) is used to test the moderating effects of GFI and APR</w:t>
      </w:r>
      <w:r>
        <w:rPr>
          <w:rFonts w:ascii="Times New Roman" w:hAnsi="Times New Roman" w:eastAsia="宋体"/>
          <w:szCs w:val="21"/>
        </w:rPr>
        <w:t>:</w:t>
      </w:r>
    </w:p>
    <w:p w14:paraId="62021C95">
      <w:pPr>
        <w:pStyle w:val="45"/>
        <w:spacing w:line="480" w:lineRule="auto"/>
        <w:ind w:firstLine="240" w:firstLineChars="100"/>
        <w:rPr>
          <w:rFonts w:hint="eastAsia"/>
        </w:rPr>
      </w:pPr>
      <w:r>
        <w:rPr>
          <w:rFonts w:hint="eastAsia"/>
          <w:position w:val="-12"/>
        </w:rPr>
        <w:object>
          <v:shape id="_x0000_i1036" o:spt="75" type="#_x0000_t75" style="height:18pt;width:372.45pt;" o:ole="t" filled="f" o:preferrelative="t" stroked="f" coordsize="21600,21600">
            <v:path/>
            <v:fill on="f" focussize="0,0"/>
            <v:stroke on="f" joinstyle="miter"/>
            <v:imagedata r:id="rId29" o:title=""/>
            <o:lock v:ext="edit" aspectratio="t"/>
            <w10:wrap type="none"/>
            <w10:anchorlock/>
          </v:shape>
          <o:OLEObject Type="Embed" ProgID="Equation.DSMT4" ShapeID="_x0000_i1036" DrawAspect="Content" ObjectID="_1468075736" r:id="rId28">
            <o:LockedField>false</o:LockedField>
          </o:OLEObject>
        </w:object>
      </w:r>
      <w:r>
        <w:tab/>
      </w:r>
      <w:r>
        <w:rPr>
          <w:rFonts w:ascii="Times New Roman" w:hAnsi="Times New Roman" w:cs="Times New Roman"/>
        </w:rPr>
        <w:t>（3）</w:t>
      </w:r>
    </w:p>
    <w:p w14:paraId="1000712D">
      <w:pPr>
        <w:spacing w:line="480" w:lineRule="auto"/>
        <w:rPr>
          <w:rFonts w:hint="default" w:ascii="Times New Roman" w:hAnsi="Times New Roman" w:eastAsia="宋体"/>
          <w:szCs w:val="21"/>
          <w:lang w:val="en-US"/>
        </w:rPr>
      </w:pPr>
      <w:r>
        <w:rPr>
          <w:rFonts w:hint="eastAsia" w:ascii="Times New Roman" w:hAnsi="Times New Roman"/>
          <w:szCs w:val="21"/>
        </w:rPr>
        <w:t>w</w:t>
      </w:r>
      <w:r>
        <w:rPr>
          <w:rFonts w:ascii="Times New Roman" w:hAnsi="Times New Roman"/>
          <w:szCs w:val="21"/>
        </w:rPr>
        <w:t>here</w:t>
      </w:r>
      <w:r>
        <w:rPr>
          <w:rFonts w:hint="eastAsia"/>
          <w:position w:val="-12"/>
          <w:szCs w:val="21"/>
        </w:rPr>
        <w:object>
          <v:shape id="_x0000_i1037" o:spt="75" type="#_x0000_t75" style="height:18pt;width:30.45pt;" o:ole="t" filled="f" o:preferrelative="t" stroked="f" coordsize="21600,21600">
            <v:path/>
            <v:fill on="f" focussize="0,0"/>
            <v:stroke on="f" joinstyle="miter"/>
            <v:imagedata r:id="rId31" o:title=""/>
            <o:lock v:ext="edit" aspectratio="t"/>
            <w10:wrap type="none"/>
            <w10:anchorlock/>
          </v:shape>
          <o:OLEObject Type="Embed" ProgID="Equation.DSMT4" ShapeID="_x0000_i1037" DrawAspect="Content" ObjectID="_1468075737" r:id="rId30">
            <o:LockedField>false</o:LockedField>
          </o:OLEObject>
        </w:object>
      </w:r>
      <w:r>
        <w:rPr>
          <w:rFonts w:ascii="Times New Roman" w:hAnsi="Times New Roman" w:eastAsia="宋体"/>
          <w:szCs w:val="21"/>
        </w:rPr>
        <w:t>represents the moderat</w:t>
      </w:r>
      <w:r>
        <w:rPr>
          <w:rFonts w:hint="eastAsia" w:ascii="Times New Roman" w:hAnsi="Times New Roman" w:eastAsia="宋体"/>
          <w:szCs w:val="21"/>
          <w:lang w:val="en-US" w:eastAsia="zh-CN"/>
        </w:rPr>
        <w:t>ors(i.e. GFI and APR).</w:t>
      </w:r>
    </w:p>
    <w:p w14:paraId="55263F3A">
      <w:pPr>
        <w:spacing w:after="120" w:afterLines="50" w:line="480" w:lineRule="auto"/>
        <w:rPr>
          <w:rFonts w:ascii="Times New Roman" w:hAnsi="Times New Roman" w:cs="Times New Roman"/>
          <w:b/>
          <w:bCs/>
          <w:szCs w:val="24"/>
        </w:rPr>
      </w:pPr>
      <w:bookmarkStart w:id="21" w:name="OLE_LINK18"/>
      <w:r>
        <w:rPr>
          <w:rFonts w:hint="eastAsia" w:ascii="Times New Roman" w:hAnsi="Times New Roman" w:cs="Times New Roman"/>
          <w:b/>
          <w:bCs/>
          <w:szCs w:val="24"/>
        </w:rPr>
        <w:t xml:space="preserve">4. </w:t>
      </w:r>
      <w:r>
        <w:rPr>
          <w:rFonts w:ascii="Times New Roman" w:hAnsi="Times New Roman" w:cs="Times New Roman"/>
          <w:b/>
          <w:bCs/>
          <w:szCs w:val="24"/>
        </w:rPr>
        <w:t>Empirical Results</w:t>
      </w:r>
    </w:p>
    <w:p w14:paraId="37546C7D">
      <w:pPr>
        <w:spacing w:after="120" w:afterLines="50" w:line="480" w:lineRule="auto"/>
        <w:rPr>
          <w:rFonts w:hint="eastAsia" w:ascii="Times New Roman" w:hAnsi="Times New Roman" w:cs="Times New Roman"/>
          <w:b/>
          <w:bCs/>
          <w:szCs w:val="24"/>
        </w:rPr>
      </w:pPr>
      <w:r>
        <w:rPr>
          <w:rFonts w:hint="eastAsia" w:ascii="Times New Roman" w:hAnsi="Times New Roman" w:cs="Times New Roman"/>
          <w:b/>
          <w:bCs/>
          <w:szCs w:val="24"/>
        </w:rPr>
        <w:t>4.1. Baseline Regression</w:t>
      </w:r>
    </w:p>
    <w:p w14:paraId="3CD2B7C6">
      <w:pPr>
        <w:spacing w:after="120" w:afterLines="50" w:line="480" w:lineRule="auto"/>
        <w:ind w:firstLine="482"/>
        <w:rPr>
          <w:rFonts w:ascii="Times New Roman" w:hAnsi="Times New Roman" w:cs="Times New Roman"/>
          <w:szCs w:val="24"/>
        </w:rPr>
      </w:pPr>
      <w:r>
        <w:rPr>
          <w:rFonts w:ascii="Times New Roman" w:hAnsi="Times New Roman" w:cs="Times New Roman"/>
          <w:color w:val="0070C0"/>
          <w:szCs w:val="24"/>
        </w:rPr>
        <w:fldChar w:fldCharType="begin"/>
      </w:r>
      <w:r>
        <w:rPr>
          <w:rFonts w:ascii="Times New Roman" w:hAnsi="Times New Roman" w:cs="Times New Roman"/>
          <w:color w:val="0070C0"/>
          <w:szCs w:val="24"/>
        </w:rPr>
        <w:instrText xml:space="preserve"> REF _Ref216098801 \h  \* MERGEFORMAT </w:instrText>
      </w:r>
      <w:r>
        <w:rPr>
          <w:rFonts w:ascii="Times New Roman" w:hAnsi="Times New Roman" w:cs="Times New Roman"/>
          <w:color w:val="0070C0"/>
          <w:szCs w:val="24"/>
        </w:rPr>
        <w:fldChar w:fldCharType="separate"/>
      </w:r>
      <w:r>
        <w:rPr>
          <w:rFonts w:hint="eastAsia" w:ascii="Times New Roman" w:hAnsi="Times New Roman" w:cs="Times New Roman"/>
          <w:color w:val="0070C0"/>
          <w:szCs w:val="24"/>
        </w:rPr>
        <w:t xml:space="preserve">Table </w:t>
      </w:r>
      <w:r>
        <w:rPr>
          <w:rFonts w:ascii="Times New Roman" w:hAnsi="Times New Roman" w:cs="Times New Roman"/>
          <w:color w:val="0070C0"/>
          <w:szCs w:val="24"/>
        </w:rPr>
        <w:t>4</w:t>
      </w:r>
      <w:r>
        <w:rPr>
          <w:rFonts w:ascii="Times New Roman" w:hAnsi="Times New Roman" w:cs="Times New Roman"/>
          <w:color w:val="0070C0"/>
          <w:szCs w:val="24"/>
        </w:rPr>
        <w:fldChar w:fldCharType="end"/>
      </w:r>
      <w:r>
        <w:rPr>
          <w:rFonts w:ascii="Times New Roman" w:hAnsi="Times New Roman" w:cs="Times New Roman"/>
          <w:szCs w:val="24"/>
        </w:rPr>
        <w:t xml:space="preserve"> </w:t>
      </w:r>
      <w:r>
        <w:rPr>
          <w:rFonts w:hint="eastAsia" w:ascii="Times New Roman" w:hAnsi="Times New Roman" w:cs="Times New Roman"/>
          <w:szCs w:val="24"/>
        </w:rPr>
        <w:t>report</w:t>
      </w:r>
      <w:r>
        <w:rPr>
          <w:rFonts w:ascii="Times New Roman" w:hAnsi="Times New Roman" w:cs="Times New Roman"/>
          <w:szCs w:val="24"/>
        </w:rPr>
        <w:t>s the baseline regression results</w:t>
      </w:r>
      <w:r>
        <w:rPr>
          <w:rFonts w:hint="eastAsia" w:ascii="Times New Roman" w:hAnsi="Times New Roman" w:cs="Times New Roman"/>
          <w:szCs w:val="24"/>
        </w:rPr>
        <w:t xml:space="preserve"> estimating </w:t>
      </w:r>
      <w:r>
        <w:rPr>
          <w:rFonts w:ascii="Times New Roman" w:hAnsi="Times New Roman" w:cs="Times New Roman"/>
          <w:szCs w:val="24"/>
        </w:rPr>
        <w:t xml:space="preserve">the impact of NTU on AER based on Model (1). </w:t>
      </w:r>
      <w:r>
        <w:rPr>
          <w:rFonts w:hint="eastAsia" w:ascii="Times New Roman" w:hAnsi="Times New Roman" w:cs="Times New Roman"/>
          <w:szCs w:val="24"/>
        </w:rPr>
        <w:t>As shown in c</w:t>
      </w:r>
      <w:r>
        <w:rPr>
          <w:rFonts w:ascii="Times New Roman" w:hAnsi="Times New Roman" w:cs="Times New Roman"/>
          <w:szCs w:val="24"/>
        </w:rPr>
        <w:t>olumns (1) and (2)</w:t>
      </w:r>
      <w:r>
        <w:rPr>
          <w:rFonts w:hint="eastAsia" w:ascii="Times New Roman" w:hAnsi="Times New Roman" w:cs="Times New Roman"/>
          <w:szCs w:val="24"/>
        </w:rPr>
        <w:t xml:space="preserve">, </w:t>
      </w:r>
      <w:r>
        <w:rPr>
          <w:rFonts w:ascii="Times New Roman" w:hAnsi="Times New Roman" w:cs="Times New Roman"/>
          <w:szCs w:val="24"/>
        </w:rPr>
        <w:t>the regression coefficients of NTU are significantly positive, indicating a statistically significant</w:t>
      </w:r>
      <w:r>
        <w:rPr>
          <w:rFonts w:hint="eastAsia" w:ascii="Times New Roman" w:hAnsi="Times New Roman" w:cs="Times New Roman"/>
          <w:szCs w:val="24"/>
        </w:rPr>
        <w:t xml:space="preserve"> </w:t>
      </w:r>
      <w:r>
        <w:rPr>
          <w:rFonts w:ascii="Times New Roman" w:hAnsi="Times New Roman" w:cs="Times New Roman"/>
          <w:szCs w:val="24"/>
        </w:rPr>
        <w:t>positive effect of NTU on AER.</w:t>
      </w:r>
      <w:r>
        <w:rPr>
          <w:rFonts w:hint="eastAsia" w:ascii="Times New Roman" w:hAnsi="Times New Roman" w:cs="Times New Roman"/>
          <w:szCs w:val="24"/>
        </w:rPr>
        <w:t xml:space="preserve"> With respect to</w:t>
      </w:r>
      <w:r>
        <w:rPr>
          <w:rFonts w:ascii="Times New Roman" w:hAnsi="Times New Roman" w:cs="Times New Roman"/>
          <w:szCs w:val="24"/>
        </w:rPr>
        <w:t xml:space="preserve"> the control variables, all </w:t>
      </w:r>
      <w:r>
        <w:rPr>
          <w:rFonts w:hint="eastAsia" w:ascii="Times New Roman" w:hAnsi="Times New Roman" w:cs="Times New Roman"/>
          <w:szCs w:val="24"/>
        </w:rPr>
        <w:t xml:space="preserve">estimated </w:t>
      </w:r>
      <w:r>
        <w:rPr>
          <w:rFonts w:ascii="Times New Roman" w:hAnsi="Times New Roman" w:cs="Times New Roman"/>
          <w:szCs w:val="24"/>
        </w:rPr>
        <w:t xml:space="preserve">coefficients are positive </w:t>
      </w:r>
      <w:r>
        <w:rPr>
          <w:rFonts w:hint="eastAsia" w:ascii="Times New Roman" w:hAnsi="Times New Roman" w:cs="Times New Roman"/>
          <w:szCs w:val="24"/>
        </w:rPr>
        <w:t xml:space="preserve">and </w:t>
      </w:r>
      <w:r>
        <w:rPr>
          <w:rFonts w:ascii="Times New Roman" w:hAnsi="Times New Roman" w:cs="Times New Roman"/>
          <w:szCs w:val="24"/>
        </w:rPr>
        <w:t>statistically</w:t>
      </w:r>
      <w:r>
        <w:rPr>
          <w:rFonts w:hint="eastAsia" w:ascii="Times New Roman" w:hAnsi="Times New Roman" w:cs="Times New Roman"/>
          <w:szCs w:val="24"/>
        </w:rPr>
        <w:t xml:space="preserve"> </w:t>
      </w:r>
      <w:r>
        <w:rPr>
          <w:rFonts w:ascii="Times New Roman" w:hAnsi="Times New Roman" w:cs="Times New Roman"/>
          <w:szCs w:val="24"/>
        </w:rPr>
        <w:t>significant</w:t>
      </w:r>
      <w:r>
        <w:rPr>
          <w:rFonts w:hint="eastAsia" w:ascii="Times New Roman" w:hAnsi="Times New Roman" w:cs="Times New Roman"/>
          <w:szCs w:val="24"/>
        </w:rPr>
        <w:t>,</w:t>
      </w:r>
      <w:r>
        <w:rPr>
          <w:rFonts w:ascii="Times New Roman" w:hAnsi="Times New Roman" w:cs="Times New Roman"/>
          <w:szCs w:val="24"/>
        </w:rPr>
        <w:t xml:space="preserve"> indicating that these factors contribute to enhancing the </w:t>
      </w:r>
      <w:r>
        <w:rPr>
          <w:rFonts w:hint="eastAsia" w:ascii="Times New Roman" w:hAnsi="Times New Roman" w:cs="Times New Roman"/>
          <w:szCs w:val="24"/>
        </w:rPr>
        <w:t>ability</w:t>
      </w:r>
      <w:r>
        <w:rPr>
          <w:rFonts w:ascii="Times New Roman" w:hAnsi="Times New Roman" w:cs="Times New Roman"/>
          <w:szCs w:val="24"/>
        </w:rPr>
        <w:t xml:space="preserve"> of agricultural systems to withstand and recover from external shocks. Specifically, the coefficient </w:t>
      </w:r>
      <w:r>
        <w:rPr>
          <w:rFonts w:hint="eastAsia" w:ascii="Times New Roman" w:hAnsi="Times New Roman" w:cs="Times New Roman"/>
          <w:szCs w:val="24"/>
        </w:rPr>
        <w:t>of</w:t>
      </w:r>
      <w:r>
        <w:rPr>
          <w:rFonts w:ascii="Times New Roman" w:hAnsi="Times New Roman" w:cs="Times New Roman"/>
          <w:szCs w:val="24"/>
        </w:rPr>
        <w:t xml:space="preserve"> EPI is 0.0296, implying that </w:t>
      </w:r>
      <w:r>
        <w:rPr>
          <w:rFonts w:hint="eastAsia" w:ascii="Times New Roman" w:hAnsi="Times New Roman" w:cs="Times New Roman"/>
          <w:szCs w:val="24"/>
        </w:rPr>
        <w:t>enhanced</w:t>
      </w:r>
      <w:r>
        <w:rPr>
          <w:rFonts w:ascii="Times New Roman" w:hAnsi="Times New Roman" w:cs="Times New Roman"/>
          <w:szCs w:val="24"/>
        </w:rPr>
        <w:t xml:space="preserve"> rural power infrastructure </w:t>
      </w:r>
      <w:r>
        <w:rPr>
          <w:rFonts w:hint="eastAsia" w:ascii="Times New Roman" w:hAnsi="Times New Roman" w:cs="Times New Roman"/>
          <w:szCs w:val="24"/>
        </w:rPr>
        <w:t>improves</w:t>
      </w:r>
      <w:r>
        <w:rPr>
          <w:rFonts w:ascii="Times New Roman" w:hAnsi="Times New Roman" w:cs="Times New Roman"/>
          <w:szCs w:val="24"/>
        </w:rPr>
        <w:t xml:space="preserve"> the continuity and adaptability of agricultural </w:t>
      </w:r>
      <w:r>
        <w:rPr>
          <w:rFonts w:hint="eastAsia" w:ascii="Times New Roman" w:hAnsi="Times New Roman" w:cs="Times New Roman"/>
          <w:szCs w:val="24"/>
        </w:rPr>
        <w:t>production</w:t>
      </w:r>
      <w:r>
        <w:rPr>
          <w:rFonts w:ascii="Times New Roman" w:hAnsi="Times New Roman" w:cs="Times New Roman"/>
          <w:szCs w:val="24"/>
        </w:rPr>
        <w:t>. The coefficient for AII is 0.2784, illustrating the importance of agricultural insurance as a risk management tool that offers financial compensation to farmers following adverse events, thereby reducing losses and supporting faster recovery.</w:t>
      </w:r>
      <w:r>
        <w:rPr>
          <w:rFonts w:hint="eastAsia" w:ascii="Times New Roman" w:hAnsi="Times New Roman" w:cs="Times New Roman"/>
          <w:szCs w:val="24"/>
        </w:rPr>
        <w:t xml:space="preserve"> </w:t>
      </w:r>
      <w:r>
        <w:rPr>
          <w:rFonts w:ascii="Times New Roman" w:hAnsi="Times New Roman" w:cs="Times New Roman"/>
          <w:szCs w:val="24"/>
        </w:rPr>
        <w:t xml:space="preserve">RND </w:t>
      </w:r>
      <w:r>
        <w:rPr>
          <w:rFonts w:hint="eastAsia" w:ascii="Times New Roman" w:hAnsi="Times New Roman" w:cs="Times New Roman"/>
          <w:szCs w:val="24"/>
        </w:rPr>
        <w:t>shows</w:t>
      </w:r>
      <w:r>
        <w:rPr>
          <w:rFonts w:ascii="Times New Roman" w:hAnsi="Times New Roman" w:cs="Times New Roman"/>
          <w:szCs w:val="24"/>
        </w:rPr>
        <w:t xml:space="preserve"> a coefficient of 0.0303,</w:t>
      </w:r>
      <w:r>
        <w:rPr>
          <w:rFonts w:hint="eastAsia" w:ascii="Times New Roman" w:hAnsi="Times New Roman" w:cs="Times New Roman"/>
          <w:szCs w:val="24"/>
        </w:rPr>
        <w:t xml:space="preserve"> </w:t>
      </w:r>
      <w:r>
        <w:rPr>
          <w:rFonts w:ascii="Times New Roman" w:hAnsi="Times New Roman" w:cs="Times New Roman"/>
          <w:szCs w:val="24"/>
        </w:rPr>
        <w:t>suggesting that a well-developed transport network</w:t>
      </w:r>
      <w:r>
        <w:rPr>
          <w:rFonts w:hint="eastAsia" w:ascii="Times New Roman" w:hAnsi="Times New Roman" w:cs="Times New Roman"/>
          <w:szCs w:val="24"/>
        </w:rPr>
        <w:t xml:space="preserve"> </w:t>
      </w:r>
      <w:r>
        <w:rPr>
          <w:rFonts w:ascii="Times New Roman" w:hAnsi="Times New Roman" w:cs="Times New Roman"/>
          <w:szCs w:val="24"/>
        </w:rPr>
        <w:t>infrastructure</w:t>
      </w:r>
      <w:r>
        <w:rPr>
          <w:rFonts w:hint="eastAsia" w:ascii="Times New Roman" w:hAnsi="Times New Roman" w:cs="Times New Roman"/>
          <w:szCs w:val="24"/>
        </w:rPr>
        <w:t xml:space="preserve"> </w:t>
      </w:r>
      <w:r>
        <w:rPr>
          <w:rFonts w:ascii="Times New Roman" w:hAnsi="Times New Roman" w:cs="Times New Roman"/>
          <w:szCs w:val="24"/>
        </w:rPr>
        <w:t xml:space="preserve">enables the agricultural sector to efficiently reallocate resources and resume production following external shocks. The coefficient of AMP is 0.0102, </w:t>
      </w:r>
      <w:r>
        <w:rPr>
          <w:rFonts w:hint="eastAsia" w:ascii="Times New Roman" w:hAnsi="Times New Roman" w:cs="Times New Roman"/>
          <w:szCs w:val="24"/>
        </w:rPr>
        <w:t>reflect</w:t>
      </w:r>
      <w:r>
        <w:rPr>
          <w:rFonts w:ascii="Times New Roman" w:hAnsi="Times New Roman" w:cs="Times New Roman"/>
          <w:szCs w:val="24"/>
        </w:rPr>
        <w:t>ing that higher levels of mechanization significantly improve product</w:t>
      </w:r>
      <w:r>
        <w:rPr>
          <w:rFonts w:hint="eastAsia" w:ascii="Times New Roman" w:hAnsi="Times New Roman" w:cs="Times New Roman"/>
          <w:szCs w:val="24"/>
        </w:rPr>
        <w:t>ive</w:t>
      </w:r>
      <w:r>
        <w:rPr>
          <w:rFonts w:ascii="Times New Roman" w:hAnsi="Times New Roman" w:cs="Times New Roman"/>
          <w:szCs w:val="24"/>
        </w:rPr>
        <w:t xml:space="preserve"> efficiency and post-</w:t>
      </w:r>
      <w:r>
        <w:rPr>
          <w:rFonts w:hint="eastAsia" w:ascii="Times New Roman" w:hAnsi="Times New Roman" w:cs="Times New Roman"/>
          <w:szCs w:val="24"/>
        </w:rPr>
        <w:t>shock</w:t>
      </w:r>
      <w:r>
        <w:rPr>
          <w:rFonts w:ascii="Times New Roman" w:hAnsi="Times New Roman" w:cs="Times New Roman"/>
          <w:szCs w:val="24"/>
        </w:rPr>
        <w:t xml:space="preserve"> recovery capacity. </w:t>
      </w:r>
      <w:r>
        <w:rPr>
          <w:rFonts w:hint="eastAsia" w:ascii="Times New Roman" w:hAnsi="Times New Roman" w:cs="Times New Roman"/>
          <w:szCs w:val="24"/>
        </w:rPr>
        <w:t xml:space="preserve">Finally, </w:t>
      </w:r>
      <w:r>
        <w:rPr>
          <w:rFonts w:ascii="Times New Roman" w:hAnsi="Times New Roman" w:cs="Times New Roman"/>
          <w:szCs w:val="24"/>
        </w:rPr>
        <w:t>FCR exhibits a coefficient of 0.1464, underscoring the protective role of forests as critical ecosystem components that buffer the direct impact of natural disasters and enhance the risk resistance of agricultural systems.</w:t>
      </w:r>
      <w:bookmarkEnd w:id="21"/>
      <w:r>
        <w:rPr>
          <w:rFonts w:hint="eastAsia" w:ascii="Times New Roman" w:hAnsi="Times New Roman" w:cs="Times New Roman"/>
          <w:szCs w:val="24"/>
        </w:rPr>
        <w:t xml:space="preserve"> </w:t>
      </w:r>
      <w:r>
        <w:rPr>
          <w:rFonts w:ascii="Times New Roman" w:hAnsi="Times New Roman" w:cs="Times New Roman"/>
          <w:szCs w:val="24"/>
        </w:rPr>
        <w:t xml:space="preserve">Columns (3) to (7) further </w:t>
      </w:r>
      <w:r>
        <w:rPr>
          <w:rFonts w:hint="eastAsia" w:ascii="Times New Roman" w:hAnsi="Times New Roman" w:cs="Times New Roman"/>
          <w:szCs w:val="24"/>
        </w:rPr>
        <w:t>investigate</w:t>
      </w:r>
      <w:r>
        <w:rPr>
          <w:rFonts w:ascii="Times New Roman" w:hAnsi="Times New Roman" w:cs="Times New Roman"/>
          <w:szCs w:val="24"/>
        </w:rPr>
        <w:t xml:space="preserve"> the effects of the five NTU subsystems on AER. The results </w:t>
      </w:r>
      <w:r>
        <w:rPr>
          <w:rFonts w:hint="eastAsia" w:ascii="Times New Roman" w:hAnsi="Times New Roman" w:cs="Times New Roman"/>
          <w:szCs w:val="24"/>
        </w:rPr>
        <w:t>reveal</w:t>
      </w:r>
      <w:r>
        <w:rPr>
          <w:rFonts w:ascii="Times New Roman" w:hAnsi="Times New Roman" w:cs="Times New Roman"/>
          <w:szCs w:val="24"/>
        </w:rPr>
        <w:t xml:space="preserve"> that all five subsystems </w:t>
      </w:r>
      <w:r>
        <w:rPr>
          <w:rFonts w:hint="eastAsia" w:ascii="Times New Roman" w:hAnsi="Times New Roman" w:cs="Times New Roman"/>
          <w:szCs w:val="24"/>
        </w:rPr>
        <w:t xml:space="preserve">contribute </w:t>
      </w:r>
      <w:r>
        <w:rPr>
          <w:rFonts w:ascii="Times New Roman" w:hAnsi="Times New Roman" w:cs="Times New Roman"/>
          <w:szCs w:val="24"/>
        </w:rPr>
        <w:t xml:space="preserve">significantly </w:t>
      </w:r>
      <w:r>
        <w:rPr>
          <w:rFonts w:hint="eastAsia" w:ascii="Times New Roman" w:hAnsi="Times New Roman" w:cs="Times New Roman"/>
          <w:szCs w:val="24"/>
        </w:rPr>
        <w:t xml:space="preserve">to </w:t>
      </w:r>
      <w:r>
        <w:rPr>
          <w:rFonts w:ascii="Times New Roman" w:hAnsi="Times New Roman" w:cs="Times New Roman"/>
          <w:szCs w:val="24"/>
        </w:rPr>
        <w:t>AER. Among them, SPU exerts the strongest effect (1.3994), whereas POU shows the weakest effect (0.2460).</w:t>
      </w:r>
    </w:p>
    <w:p w14:paraId="2D3484DF">
      <w:pPr>
        <w:pStyle w:val="56"/>
        <w:spacing w:before="240"/>
        <w:rPr>
          <w:rFonts w:eastAsia="宋体"/>
          <w:sz w:val="24"/>
          <w:szCs w:val="24"/>
        </w:rPr>
      </w:pPr>
      <w:bookmarkStart w:id="22" w:name="_Ref216098801"/>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t>4</w:t>
      </w:r>
      <w:r>
        <w:rPr>
          <w:rFonts w:hint="eastAsia"/>
        </w:rPr>
        <w:fldChar w:fldCharType="end"/>
      </w:r>
      <w:bookmarkEnd w:id="22"/>
      <w:r>
        <w:rPr>
          <w:rFonts w:hint="eastAsia" w:eastAsia="宋体"/>
          <w:sz w:val="24"/>
          <w:szCs w:val="24"/>
        </w:rPr>
        <w:t xml:space="preserve"> </w:t>
      </w:r>
    </w:p>
    <w:p w14:paraId="4E43E2AC">
      <w:pPr>
        <w:spacing w:line="480" w:lineRule="auto"/>
        <w:jc w:val="left"/>
        <w:rPr>
          <w:rFonts w:ascii="Times New Roman" w:hAnsi="Times New Roman" w:eastAsia="宋体"/>
          <w:sz w:val="18"/>
          <w:szCs w:val="18"/>
        </w:rPr>
      </w:pPr>
      <w:r>
        <w:rPr>
          <w:rFonts w:hint="eastAsia" w:ascii="Times New Roman" w:hAnsi="Times New Roman" w:eastAsia="宋体"/>
          <w:sz w:val="18"/>
          <w:szCs w:val="18"/>
        </w:rPr>
        <w:t>The results of baseline regression.</w:t>
      </w:r>
    </w:p>
    <w:tbl>
      <w:tblPr>
        <w:tblStyle w:val="50"/>
        <w:tblW w:w="8526" w:type="dxa"/>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
        <w:gridCol w:w="1155"/>
        <w:gridCol w:w="7"/>
        <w:gridCol w:w="1044"/>
        <w:gridCol w:w="7"/>
        <w:gridCol w:w="1044"/>
        <w:gridCol w:w="7"/>
        <w:gridCol w:w="1044"/>
        <w:gridCol w:w="7"/>
        <w:gridCol w:w="1044"/>
        <w:gridCol w:w="7"/>
        <w:gridCol w:w="1044"/>
        <w:gridCol w:w="7"/>
        <w:gridCol w:w="1044"/>
        <w:gridCol w:w="7"/>
        <w:gridCol w:w="1044"/>
        <w:gridCol w:w="7"/>
      </w:tblGrid>
      <w:tr w14:paraId="2498550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Borders>
              <w:top w:val="single" w:color="auto" w:sz="12" w:space="0"/>
              <w:left w:val="nil"/>
              <w:bottom w:val="single" w:color="auto" w:sz="6" w:space="0"/>
              <w:right w:val="nil"/>
              <w:insideH w:val="single" w:sz="6" w:space="0"/>
              <w:insideV w:val="nil"/>
              <w:tl2br w:val="nil"/>
              <w:tr2bl w:val="nil"/>
            </w:tcBorders>
            <w:tcMar>
              <w:left w:w="0" w:type="dxa"/>
              <w:right w:w="0" w:type="dxa"/>
            </w:tcMar>
            <w:vAlign w:val="center"/>
          </w:tcPr>
          <w:p w14:paraId="2512754D">
            <w:pPr>
              <w:widowControl/>
              <w:snapToGrid w:val="0"/>
              <w:spacing w:line="240" w:lineRule="auto"/>
              <w:jc w:val="left"/>
              <w:rPr>
                <w:rFonts w:ascii="Times New Roman" w:hAnsi="Times New Roman" w:eastAsia="宋体" w:cs="Times New Roman"/>
                <w:i/>
                <w:iCs/>
                <w:sz w:val="18"/>
                <w:szCs w:val="18"/>
              </w:rPr>
            </w:pPr>
          </w:p>
        </w:tc>
        <w:tc>
          <w:tcPr>
            <w:tcW w:w="1051" w:type="dxa"/>
            <w:gridSpan w:val="2"/>
            <w:tcBorders>
              <w:top w:val="single" w:color="auto" w:sz="12" w:space="0"/>
              <w:bottom w:val="single" w:color="auto" w:sz="6" w:space="0"/>
              <w:right w:val="nil"/>
              <w:insideH w:val="single" w:sz="6" w:space="0"/>
              <w:insideV w:val="nil"/>
              <w:tl2br w:val="nil"/>
              <w:tr2bl w:val="nil"/>
            </w:tcBorders>
            <w:tcMar>
              <w:left w:w="0" w:type="dxa"/>
              <w:right w:w="0" w:type="dxa"/>
            </w:tcMar>
            <w:vAlign w:val="center"/>
          </w:tcPr>
          <w:p w14:paraId="502ACCFC">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(1)</w:t>
            </w:r>
          </w:p>
        </w:tc>
        <w:tc>
          <w:tcPr>
            <w:tcW w:w="1051" w:type="dxa"/>
            <w:gridSpan w:val="2"/>
            <w:tcBorders>
              <w:top w:val="single" w:color="auto" w:sz="12" w:space="0"/>
              <w:bottom w:val="single" w:color="auto" w:sz="6" w:space="0"/>
              <w:right w:val="nil"/>
              <w:insideH w:val="single" w:sz="6" w:space="0"/>
              <w:insideV w:val="nil"/>
              <w:tl2br w:val="nil"/>
              <w:tr2bl w:val="nil"/>
            </w:tcBorders>
            <w:tcMar>
              <w:left w:w="0" w:type="dxa"/>
              <w:right w:w="0" w:type="dxa"/>
            </w:tcMar>
            <w:vAlign w:val="center"/>
          </w:tcPr>
          <w:p w14:paraId="1506BA5D">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(2)</w:t>
            </w:r>
          </w:p>
        </w:tc>
        <w:tc>
          <w:tcPr>
            <w:tcW w:w="1051" w:type="dxa"/>
            <w:gridSpan w:val="2"/>
            <w:tcBorders>
              <w:top w:val="single" w:color="auto" w:sz="12" w:space="0"/>
              <w:bottom w:val="single" w:color="auto" w:sz="6" w:space="0"/>
              <w:right w:val="nil"/>
              <w:insideH w:val="single" w:sz="6" w:space="0"/>
              <w:insideV w:val="nil"/>
              <w:tl2br w:val="nil"/>
              <w:tr2bl w:val="nil"/>
            </w:tcBorders>
            <w:tcMar>
              <w:left w:w="0" w:type="dxa"/>
              <w:right w:w="0" w:type="dxa"/>
            </w:tcMar>
            <w:vAlign w:val="center"/>
          </w:tcPr>
          <w:p w14:paraId="3E283AF5">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(3)</w:t>
            </w:r>
          </w:p>
        </w:tc>
        <w:tc>
          <w:tcPr>
            <w:tcW w:w="1051" w:type="dxa"/>
            <w:gridSpan w:val="2"/>
            <w:tcBorders>
              <w:top w:val="single" w:color="auto" w:sz="12" w:space="0"/>
              <w:bottom w:val="single" w:color="auto" w:sz="6" w:space="0"/>
              <w:right w:val="nil"/>
              <w:insideH w:val="single" w:sz="6" w:space="0"/>
              <w:insideV w:val="nil"/>
              <w:tl2br w:val="nil"/>
              <w:tr2bl w:val="nil"/>
            </w:tcBorders>
            <w:tcMar>
              <w:left w:w="0" w:type="dxa"/>
              <w:right w:w="0" w:type="dxa"/>
            </w:tcMar>
            <w:vAlign w:val="center"/>
          </w:tcPr>
          <w:p w14:paraId="286A932F">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(4)</w:t>
            </w:r>
          </w:p>
        </w:tc>
        <w:tc>
          <w:tcPr>
            <w:tcW w:w="1051" w:type="dxa"/>
            <w:gridSpan w:val="2"/>
            <w:tcBorders>
              <w:top w:val="single" w:color="auto" w:sz="12" w:space="0"/>
              <w:bottom w:val="single" w:color="auto" w:sz="6" w:space="0"/>
              <w:right w:val="nil"/>
              <w:insideH w:val="single" w:sz="6" w:space="0"/>
              <w:insideV w:val="nil"/>
              <w:tl2br w:val="nil"/>
              <w:tr2bl w:val="nil"/>
            </w:tcBorders>
            <w:tcMar>
              <w:left w:w="0" w:type="dxa"/>
              <w:right w:w="0" w:type="dxa"/>
            </w:tcMar>
            <w:vAlign w:val="center"/>
          </w:tcPr>
          <w:p w14:paraId="1B9D452C">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(5)</w:t>
            </w:r>
          </w:p>
        </w:tc>
        <w:tc>
          <w:tcPr>
            <w:tcW w:w="1051" w:type="dxa"/>
            <w:gridSpan w:val="2"/>
            <w:tcBorders>
              <w:top w:val="single" w:color="auto" w:sz="12" w:space="0"/>
              <w:bottom w:val="single" w:color="auto" w:sz="6" w:space="0"/>
              <w:right w:val="nil"/>
              <w:insideH w:val="single" w:sz="6" w:space="0"/>
              <w:insideV w:val="nil"/>
              <w:tl2br w:val="nil"/>
              <w:tr2bl w:val="nil"/>
            </w:tcBorders>
            <w:tcMar>
              <w:left w:w="0" w:type="dxa"/>
              <w:right w:w="0" w:type="dxa"/>
            </w:tcMar>
            <w:vAlign w:val="center"/>
          </w:tcPr>
          <w:p w14:paraId="7B736D51">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(6)</w:t>
            </w:r>
          </w:p>
        </w:tc>
        <w:tc>
          <w:tcPr>
            <w:tcW w:w="1051" w:type="dxa"/>
            <w:gridSpan w:val="2"/>
            <w:tcBorders>
              <w:top w:val="single" w:color="auto" w:sz="12" w:space="0"/>
              <w:bottom w:val="single" w:color="auto" w:sz="6" w:space="0"/>
              <w:right w:val="nil"/>
              <w:insideH w:val="single" w:sz="6" w:space="0"/>
              <w:insideV w:val="nil"/>
              <w:tl2br w:val="nil"/>
              <w:tr2bl w:val="nil"/>
            </w:tcBorders>
            <w:tcMar>
              <w:left w:w="0" w:type="dxa"/>
              <w:right w:w="0" w:type="dxa"/>
            </w:tcMar>
            <w:vAlign w:val="center"/>
          </w:tcPr>
          <w:p w14:paraId="1635AF72">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(7)</w:t>
            </w:r>
          </w:p>
        </w:tc>
      </w:tr>
      <w:tr w14:paraId="4B30005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03019767">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6F19F8F2">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AER</w:t>
            </w:r>
          </w:p>
        </w:tc>
        <w:tc>
          <w:tcPr>
            <w:tcW w:w="1051" w:type="dxa"/>
            <w:gridSpan w:val="2"/>
            <w:tcMar>
              <w:left w:w="0" w:type="dxa"/>
              <w:right w:w="0" w:type="dxa"/>
            </w:tcMar>
            <w:vAlign w:val="center"/>
          </w:tcPr>
          <w:p w14:paraId="52705466">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AER</w:t>
            </w:r>
          </w:p>
        </w:tc>
        <w:tc>
          <w:tcPr>
            <w:tcW w:w="1051" w:type="dxa"/>
            <w:gridSpan w:val="2"/>
            <w:tcMar>
              <w:left w:w="0" w:type="dxa"/>
              <w:right w:w="0" w:type="dxa"/>
            </w:tcMar>
            <w:vAlign w:val="center"/>
          </w:tcPr>
          <w:p w14:paraId="3A62C0F8">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AER</w:t>
            </w:r>
          </w:p>
        </w:tc>
        <w:tc>
          <w:tcPr>
            <w:tcW w:w="1051" w:type="dxa"/>
            <w:gridSpan w:val="2"/>
            <w:tcMar>
              <w:left w:w="0" w:type="dxa"/>
              <w:right w:w="0" w:type="dxa"/>
            </w:tcMar>
            <w:vAlign w:val="center"/>
          </w:tcPr>
          <w:p w14:paraId="7991C3DB">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AER</w:t>
            </w:r>
          </w:p>
        </w:tc>
        <w:tc>
          <w:tcPr>
            <w:tcW w:w="1051" w:type="dxa"/>
            <w:gridSpan w:val="2"/>
            <w:tcMar>
              <w:left w:w="0" w:type="dxa"/>
              <w:right w:w="0" w:type="dxa"/>
            </w:tcMar>
            <w:vAlign w:val="center"/>
          </w:tcPr>
          <w:p w14:paraId="681399A0">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AER</w:t>
            </w:r>
          </w:p>
        </w:tc>
        <w:tc>
          <w:tcPr>
            <w:tcW w:w="1051" w:type="dxa"/>
            <w:gridSpan w:val="2"/>
            <w:tcMar>
              <w:left w:w="0" w:type="dxa"/>
              <w:right w:w="0" w:type="dxa"/>
            </w:tcMar>
            <w:vAlign w:val="center"/>
          </w:tcPr>
          <w:p w14:paraId="52F96CB6">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AER</w:t>
            </w:r>
          </w:p>
        </w:tc>
        <w:tc>
          <w:tcPr>
            <w:tcW w:w="1051" w:type="dxa"/>
            <w:gridSpan w:val="2"/>
            <w:tcMar>
              <w:left w:w="0" w:type="dxa"/>
              <w:right w:w="0" w:type="dxa"/>
            </w:tcMar>
            <w:vAlign w:val="center"/>
          </w:tcPr>
          <w:p w14:paraId="45CC56F0">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AER</w:t>
            </w:r>
          </w:p>
        </w:tc>
      </w:tr>
      <w:tr w14:paraId="72C645E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0B89EA91">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NTU</w:t>
            </w:r>
          </w:p>
        </w:tc>
        <w:tc>
          <w:tcPr>
            <w:tcW w:w="1051" w:type="dxa"/>
            <w:gridSpan w:val="2"/>
            <w:tcMar>
              <w:left w:w="0" w:type="dxa"/>
              <w:right w:w="0" w:type="dxa"/>
            </w:tcMar>
            <w:vAlign w:val="center"/>
          </w:tcPr>
          <w:p w14:paraId="44F871CD">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0.4329***</w:t>
            </w:r>
          </w:p>
        </w:tc>
        <w:tc>
          <w:tcPr>
            <w:tcW w:w="1051" w:type="dxa"/>
            <w:gridSpan w:val="2"/>
            <w:tcMar>
              <w:left w:w="0" w:type="dxa"/>
              <w:right w:w="0" w:type="dxa"/>
            </w:tcMar>
            <w:vAlign w:val="center"/>
          </w:tcPr>
          <w:p w14:paraId="0A329700">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0.4995***</w:t>
            </w:r>
          </w:p>
        </w:tc>
        <w:tc>
          <w:tcPr>
            <w:tcW w:w="1051" w:type="dxa"/>
            <w:gridSpan w:val="2"/>
            <w:tcMar>
              <w:left w:w="0" w:type="dxa"/>
              <w:right w:w="0" w:type="dxa"/>
            </w:tcMar>
            <w:vAlign w:val="center"/>
          </w:tcPr>
          <w:p w14:paraId="51D78017">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5359C8D2">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367A11A8">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04042D0E">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2F412F74">
            <w:pPr>
              <w:widowControl/>
              <w:snapToGrid w:val="0"/>
              <w:spacing w:line="240" w:lineRule="auto"/>
              <w:jc w:val="left"/>
              <w:rPr>
                <w:rFonts w:ascii="Times New Roman" w:hAnsi="Times New Roman" w:eastAsia="宋体" w:cs="Times New Roman"/>
                <w:sz w:val="18"/>
                <w:szCs w:val="18"/>
              </w:rPr>
            </w:pPr>
          </w:p>
        </w:tc>
      </w:tr>
      <w:tr w14:paraId="42535E8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3B74F481">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10D4D242">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(0.056)</w:t>
            </w:r>
          </w:p>
        </w:tc>
        <w:tc>
          <w:tcPr>
            <w:tcW w:w="1051" w:type="dxa"/>
            <w:gridSpan w:val="2"/>
            <w:tcMar>
              <w:left w:w="0" w:type="dxa"/>
              <w:right w:w="0" w:type="dxa"/>
            </w:tcMar>
            <w:vAlign w:val="center"/>
          </w:tcPr>
          <w:p w14:paraId="4F92D5D6">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(0.046)</w:t>
            </w:r>
          </w:p>
        </w:tc>
        <w:tc>
          <w:tcPr>
            <w:tcW w:w="1051" w:type="dxa"/>
            <w:gridSpan w:val="2"/>
            <w:tcMar>
              <w:left w:w="0" w:type="dxa"/>
              <w:right w:w="0" w:type="dxa"/>
            </w:tcMar>
            <w:vAlign w:val="center"/>
          </w:tcPr>
          <w:p w14:paraId="4F2264DB">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758417E5">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6795B36F">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7511A447">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40D83AC5">
            <w:pPr>
              <w:widowControl/>
              <w:snapToGrid w:val="0"/>
              <w:spacing w:line="240" w:lineRule="auto"/>
              <w:jc w:val="left"/>
              <w:rPr>
                <w:rFonts w:ascii="Times New Roman" w:hAnsi="Times New Roman" w:eastAsia="宋体" w:cs="Times New Roman"/>
                <w:sz w:val="18"/>
                <w:szCs w:val="18"/>
              </w:rPr>
            </w:pPr>
          </w:p>
        </w:tc>
      </w:tr>
      <w:tr w14:paraId="6F3A544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7" w:type="dxa"/>
          <w:trHeight w:val="113" w:hRule="atLeast"/>
        </w:trPr>
        <w:tc>
          <w:tcPr>
            <w:tcW w:w="1162" w:type="dxa"/>
            <w:gridSpan w:val="2"/>
            <w:tcMar>
              <w:left w:w="0" w:type="dxa"/>
              <w:right w:w="0" w:type="dxa"/>
            </w:tcMar>
            <w:vAlign w:val="center"/>
          </w:tcPr>
          <w:p w14:paraId="135E150C">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POU</w:t>
            </w:r>
          </w:p>
        </w:tc>
        <w:tc>
          <w:tcPr>
            <w:tcW w:w="1051" w:type="dxa"/>
            <w:gridSpan w:val="2"/>
            <w:tcMar>
              <w:left w:w="0" w:type="dxa"/>
              <w:right w:w="0" w:type="dxa"/>
            </w:tcMar>
            <w:vAlign w:val="center"/>
          </w:tcPr>
          <w:p w14:paraId="1B5A2316">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6C00BF88">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73C0BB9D">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0.2460*</w:t>
            </w:r>
          </w:p>
        </w:tc>
        <w:tc>
          <w:tcPr>
            <w:tcW w:w="1051" w:type="dxa"/>
            <w:gridSpan w:val="2"/>
            <w:tcMar>
              <w:left w:w="0" w:type="dxa"/>
              <w:right w:w="0" w:type="dxa"/>
            </w:tcMar>
            <w:vAlign w:val="center"/>
          </w:tcPr>
          <w:p w14:paraId="43EA75F0">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14BB546D">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71A2A413">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077D5BE0">
            <w:pPr>
              <w:widowControl/>
              <w:snapToGrid w:val="0"/>
              <w:spacing w:line="240" w:lineRule="auto"/>
              <w:jc w:val="left"/>
              <w:rPr>
                <w:rFonts w:ascii="Times New Roman" w:hAnsi="Times New Roman" w:eastAsia="宋体" w:cs="Times New Roman"/>
                <w:sz w:val="18"/>
                <w:szCs w:val="18"/>
              </w:rPr>
            </w:pPr>
          </w:p>
        </w:tc>
      </w:tr>
      <w:tr w14:paraId="0508585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7" w:type="dxa"/>
          <w:trHeight w:val="113" w:hRule="atLeast"/>
        </w:trPr>
        <w:tc>
          <w:tcPr>
            <w:tcW w:w="1162" w:type="dxa"/>
            <w:gridSpan w:val="2"/>
            <w:tcMar>
              <w:left w:w="0" w:type="dxa"/>
              <w:right w:w="0" w:type="dxa"/>
            </w:tcMar>
            <w:vAlign w:val="center"/>
          </w:tcPr>
          <w:p w14:paraId="2BC0E318">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21D4D062">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7C4B1012">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66B485E3">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(0.146)</w:t>
            </w:r>
          </w:p>
        </w:tc>
        <w:tc>
          <w:tcPr>
            <w:tcW w:w="1051" w:type="dxa"/>
            <w:gridSpan w:val="2"/>
            <w:tcMar>
              <w:left w:w="0" w:type="dxa"/>
              <w:right w:w="0" w:type="dxa"/>
            </w:tcMar>
            <w:vAlign w:val="center"/>
          </w:tcPr>
          <w:p w14:paraId="36813F57">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1767B956">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013DCBB9">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3ABD2384">
            <w:pPr>
              <w:widowControl/>
              <w:snapToGrid w:val="0"/>
              <w:spacing w:line="240" w:lineRule="auto"/>
              <w:jc w:val="left"/>
              <w:rPr>
                <w:rFonts w:ascii="Times New Roman" w:hAnsi="Times New Roman" w:eastAsia="宋体" w:cs="Times New Roman"/>
                <w:sz w:val="18"/>
                <w:szCs w:val="18"/>
              </w:rPr>
            </w:pPr>
          </w:p>
        </w:tc>
      </w:tr>
      <w:tr w14:paraId="7CCFC2F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7" w:type="dxa"/>
          <w:trHeight w:val="113" w:hRule="atLeast"/>
        </w:trPr>
        <w:tc>
          <w:tcPr>
            <w:tcW w:w="1162" w:type="dxa"/>
            <w:gridSpan w:val="2"/>
            <w:tcMar>
              <w:left w:w="0" w:type="dxa"/>
              <w:right w:w="0" w:type="dxa"/>
            </w:tcMar>
            <w:vAlign w:val="center"/>
          </w:tcPr>
          <w:p w14:paraId="2C3201A9">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SPU</w:t>
            </w:r>
          </w:p>
        </w:tc>
        <w:tc>
          <w:tcPr>
            <w:tcW w:w="1051" w:type="dxa"/>
            <w:gridSpan w:val="2"/>
            <w:tcMar>
              <w:left w:w="0" w:type="dxa"/>
              <w:right w:w="0" w:type="dxa"/>
            </w:tcMar>
            <w:vAlign w:val="center"/>
          </w:tcPr>
          <w:p w14:paraId="15767422">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7C51F79E">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6F955C3C">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5000631B">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1.3994***</w:t>
            </w:r>
          </w:p>
        </w:tc>
        <w:tc>
          <w:tcPr>
            <w:tcW w:w="1051" w:type="dxa"/>
            <w:gridSpan w:val="2"/>
            <w:tcMar>
              <w:left w:w="0" w:type="dxa"/>
              <w:right w:w="0" w:type="dxa"/>
            </w:tcMar>
            <w:vAlign w:val="center"/>
          </w:tcPr>
          <w:p w14:paraId="39E6DFA5">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691E98CD">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55D8E4D6">
            <w:pPr>
              <w:widowControl/>
              <w:snapToGrid w:val="0"/>
              <w:spacing w:line="240" w:lineRule="auto"/>
              <w:jc w:val="left"/>
              <w:rPr>
                <w:rFonts w:ascii="Times New Roman" w:hAnsi="Times New Roman" w:eastAsia="宋体" w:cs="Times New Roman"/>
                <w:sz w:val="18"/>
                <w:szCs w:val="18"/>
              </w:rPr>
            </w:pPr>
          </w:p>
        </w:tc>
      </w:tr>
      <w:tr w14:paraId="3AF57C8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7" w:type="dxa"/>
          <w:trHeight w:val="113" w:hRule="atLeast"/>
        </w:trPr>
        <w:tc>
          <w:tcPr>
            <w:tcW w:w="1162" w:type="dxa"/>
            <w:gridSpan w:val="2"/>
            <w:tcMar>
              <w:left w:w="0" w:type="dxa"/>
              <w:right w:w="0" w:type="dxa"/>
            </w:tcMar>
            <w:vAlign w:val="center"/>
          </w:tcPr>
          <w:p w14:paraId="4976E2FB">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70EE9704">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0C245A82">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69B0EFFC">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43F390AE">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(0.293)</w:t>
            </w:r>
          </w:p>
        </w:tc>
        <w:tc>
          <w:tcPr>
            <w:tcW w:w="1051" w:type="dxa"/>
            <w:gridSpan w:val="2"/>
            <w:tcMar>
              <w:left w:w="0" w:type="dxa"/>
              <w:right w:w="0" w:type="dxa"/>
            </w:tcMar>
            <w:vAlign w:val="center"/>
          </w:tcPr>
          <w:p w14:paraId="72023FE5">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5B5A287B">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2CCFCCED">
            <w:pPr>
              <w:widowControl/>
              <w:snapToGrid w:val="0"/>
              <w:spacing w:line="240" w:lineRule="auto"/>
              <w:jc w:val="left"/>
              <w:rPr>
                <w:rFonts w:ascii="Times New Roman" w:hAnsi="Times New Roman" w:eastAsia="宋体" w:cs="Times New Roman"/>
                <w:sz w:val="18"/>
                <w:szCs w:val="18"/>
              </w:rPr>
            </w:pPr>
          </w:p>
        </w:tc>
      </w:tr>
      <w:tr w14:paraId="2A8CD62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7" w:type="dxa"/>
          <w:trHeight w:val="113" w:hRule="atLeast"/>
        </w:trPr>
        <w:tc>
          <w:tcPr>
            <w:tcW w:w="1162" w:type="dxa"/>
            <w:gridSpan w:val="2"/>
            <w:tcMar>
              <w:left w:w="0" w:type="dxa"/>
              <w:right w:w="0" w:type="dxa"/>
            </w:tcMar>
            <w:vAlign w:val="center"/>
          </w:tcPr>
          <w:p w14:paraId="76B85954">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ECU</w:t>
            </w:r>
          </w:p>
        </w:tc>
        <w:tc>
          <w:tcPr>
            <w:tcW w:w="1051" w:type="dxa"/>
            <w:gridSpan w:val="2"/>
            <w:tcMar>
              <w:left w:w="0" w:type="dxa"/>
              <w:right w:w="0" w:type="dxa"/>
            </w:tcMar>
            <w:vAlign w:val="center"/>
          </w:tcPr>
          <w:p w14:paraId="1947F47D">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787B1462">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24C9DD8D">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6F453E11">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4E6AF5D4">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0.6494***</w:t>
            </w:r>
          </w:p>
        </w:tc>
        <w:tc>
          <w:tcPr>
            <w:tcW w:w="1051" w:type="dxa"/>
            <w:gridSpan w:val="2"/>
            <w:tcMar>
              <w:left w:w="0" w:type="dxa"/>
              <w:right w:w="0" w:type="dxa"/>
            </w:tcMar>
            <w:vAlign w:val="center"/>
          </w:tcPr>
          <w:p w14:paraId="7865B654">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7110BF6E">
            <w:pPr>
              <w:widowControl/>
              <w:snapToGrid w:val="0"/>
              <w:spacing w:line="240" w:lineRule="auto"/>
              <w:jc w:val="left"/>
              <w:rPr>
                <w:rFonts w:ascii="Times New Roman" w:hAnsi="Times New Roman" w:eastAsia="宋体" w:cs="Times New Roman"/>
                <w:sz w:val="18"/>
                <w:szCs w:val="18"/>
              </w:rPr>
            </w:pPr>
          </w:p>
        </w:tc>
      </w:tr>
      <w:tr w14:paraId="2AEC958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7" w:type="dxa"/>
          <w:trHeight w:val="113" w:hRule="atLeast"/>
        </w:trPr>
        <w:tc>
          <w:tcPr>
            <w:tcW w:w="1162" w:type="dxa"/>
            <w:gridSpan w:val="2"/>
            <w:tcMar>
              <w:left w:w="0" w:type="dxa"/>
              <w:right w:w="0" w:type="dxa"/>
            </w:tcMar>
            <w:vAlign w:val="center"/>
          </w:tcPr>
          <w:p w14:paraId="78012F85">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608903D7">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03653922">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5D4D81A6">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0173B545">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4EFDC420">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(0.096)</w:t>
            </w:r>
          </w:p>
        </w:tc>
        <w:tc>
          <w:tcPr>
            <w:tcW w:w="1051" w:type="dxa"/>
            <w:gridSpan w:val="2"/>
            <w:tcMar>
              <w:left w:w="0" w:type="dxa"/>
              <w:right w:w="0" w:type="dxa"/>
            </w:tcMar>
            <w:vAlign w:val="center"/>
          </w:tcPr>
          <w:p w14:paraId="7859D1F8">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28D9144D">
            <w:pPr>
              <w:widowControl/>
              <w:snapToGrid w:val="0"/>
              <w:spacing w:line="240" w:lineRule="auto"/>
              <w:jc w:val="left"/>
              <w:rPr>
                <w:rFonts w:ascii="Times New Roman" w:hAnsi="Times New Roman" w:eastAsia="宋体" w:cs="Times New Roman"/>
                <w:sz w:val="18"/>
                <w:szCs w:val="18"/>
              </w:rPr>
            </w:pPr>
          </w:p>
        </w:tc>
      </w:tr>
      <w:tr w14:paraId="65AE08C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7" w:type="dxa"/>
          <w:trHeight w:val="113" w:hRule="atLeast"/>
        </w:trPr>
        <w:tc>
          <w:tcPr>
            <w:tcW w:w="1162" w:type="dxa"/>
            <w:gridSpan w:val="2"/>
            <w:tcMar>
              <w:left w:w="0" w:type="dxa"/>
              <w:right w:w="0" w:type="dxa"/>
            </w:tcMar>
            <w:vAlign w:val="center"/>
          </w:tcPr>
          <w:p w14:paraId="513147CA">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SOU</w:t>
            </w:r>
          </w:p>
        </w:tc>
        <w:tc>
          <w:tcPr>
            <w:tcW w:w="1051" w:type="dxa"/>
            <w:gridSpan w:val="2"/>
            <w:tcMar>
              <w:left w:w="0" w:type="dxa"/>
              <w:right w:w="0" w:type="dxa"/>
            </w:tcMar>
            <w:vAlign w:val="center"/>
          </w:tcPr>
          <w:p w14:paraId="6A9BF1DD">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7B9A912F">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73C0B979">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43984B78">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449425D1">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027B99FF">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0.7126***</w:t>
            </w:r>
          </w:p>
        </w:tc>
        <w:tc>
          <w:tcPr>
            <w:tcW w:w="1051" w:type="dxa"/>
            <w:gridSpan w:val="2"/>
            <w:tcMar>
              <w:left w:w="0" w:type="dxa"/>
              <w:right w:w="0" w:type="dxa"/>
            </w:tcMar>
            <w:vAlign w:val="center"/>
          </w:tcPr>
          <w:p w14:paraId="5ACF81A9">
            <w:pPr>
              <w:widowControl/>
              <w:snapToGrid w:val="0"/>
              <w:spacing w:line="240" w:lineRule="auto"/>
              <w:jc w:val="left"/>
              <w:rPr>
                <w:rFonts w:ascii="Times New Roman" w:hAnsi="Times New Roman" w:eastAsia="宋体" w:cs="Times New Roman"/>
                <w:sz w:val="18"/>
                <w:szCs w:val="18"/>
              </w:rPr>
            </w:pPr>
          </w:p>
        </w:tc>
      </w:tr>
      <w:tr w14:paraId="31D85AE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7" w:type="dxa"/>
          <w:trHeight w:val="113" w:hRule="atLeast"/>
        </w:trPr>
        <w:tc>
          <w:tcPr>
            <w:tcW w:w="1162" w:type="dxa"/>
            <w:gridSpan w:val="2"/>
            <w:tcMar>
              <w:left w:w="0" w:type="dxa"/>
              <w:right w:w="0" w:type="dxa"/>
            </w:tcMar>
            <w:vAlign w:val="center"/>
          </w:tcPr>
          <w:p w14:paraId="6094EAED">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4C057E5B">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09CD575B">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259CFFEC">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1312CD9D">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5366C172">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28182235">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(0.111)</w:t>
            </w:r>
          </w:p>
        </w:tc>
        <w:tc>
          <w:tcPr>
            <w:tcW w:w="1051" w:type="dxa"/>
            <w:gridSpan w:val="2"/>
            <w:tcMar>
              <w:left w:w="0" w:type="dxa"/>
              <w:right w:w="0" w:type="dxa"/>
            </w:tcMar>
            <w:vAlign w:val="center"/>
          </w:tcPr>
          <w:p w14:paraId="40E52565">
            <w:pPr>
              <w:widowControl/>
              <w:snapToGrid w:val="0"/>
              <w:spacing w:line="240" w:lineRule="auto"/>
              <w:jc w:val="left"/>
              <w:rPr>
                <w:rFonts w:ascii="Times New Roman" w:hAnsi="Times New Roman" w:eastAsia="宋体" w:cs="Times New Roman"/>
                <w:sz w:val="18"/>
                <w:szCs w:val="18"/>
              </w:rPr>
            </w:pPr>
          </w:p>
        </w:tc>
      </w:tr>
      <w:tr w14:paraId="4B55260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7" w:type="dxa"/>
          <w:trHeight w:val="113" w:hRule="atLeast"/>
        </w:trPr>
        <w:tc>
          <w:tcPr>
            <w:tcW w:w="1162" w:type="dxa"/>
            <w:gridSpan w:val="2"/>
            <w:tcMar>
              <w:left w:w="0" w:type="dxa"/>
              <w:right w:w="0" w:type="dxa"/>
            </w:tcMar>
            <w:vAlign w:val="center"/>
          </w:tcPr>
          <w:p w14:paraId="54230C48">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GRU</w:t>
            </w:r>
          </w:p>
        </w:tc>
        <w:tc>
          <w:tcPr>
            <w:tcW w:w="1051" w:type="dxa"/>
            <w:gridSpan w:val="2"/>
            <w:tcMar>
              <w:left w:w="0" w:type="dxa"/>
              <w:right w:w="0" w:type="dxa"/>
            </w:tcMar>
            <w:vAlign w:val="center"/>
          </w:tcPr>
          <w:p w14:paraId="5F9AF5E1">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56D79CC4">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28A5F7DA">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02222836">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736D5410">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443EEFB6">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3D7EFA4D">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1.0053***</w:t>
            </w:r>
          </w:p>
        </w:tc>
      </w:tr>
      <w:tr w14:paraId="7C7392E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7" w:type="dxa"/>
          <w:trHeight w:val="113" w:hRule="atLeast"/>
        </w:trPr>
        <w:tc>
          <w:tcPr>
            <w:tcW w:w="1162" w:type="dxa"/>
            <w:gridSpan w:val="2"/>
            <w:tcMar>
              <w:left w:w="0" w:type="dxa"/>
              <w:right w:w="0" w:type="dxa"/>
            </w:tcMar>
            <w:vAlign w:val="center"/>
          </w:tcPr>
          <w:p w14:paraId="1C9FB986">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369D1642">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436BADE1">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14FA6AA8">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65DA614E">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05D3E8F9">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2D9D40B2">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04C7B4E6">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(0.174)</w:t>
            </w:r>
          </w:p>
        </w:tc>
      </w:tr>
      <w:tr w14:paraId="29EE1CE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78D870DA">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EPI</w:t>
            </w:r>
          </w:p>
        </w:tc>
        <w:tc>
          <w:tcPr>
            <w:tcW w:w="1051" w:type="dxa"/>
            <w:gridSpan w:val="2"/>
            <w:tcMar>
              <w:left w:w="0" w:type="dxa"/>
              <w:right w:w="0" w:type="dxa"/>
            </w:tcMar>
            <w:vAlign w:val="center"/>
          </w:tcPr>
          <w:p w14:paraId="226E449F">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7B4B511D">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0.0296***</w:t>
            </w:r>
          </w:p>
        </w:tc>
        <w:tc>
          <w:tcPr>
            <w:tcW w:w="1051" w:type="dxa"/>
            <w:gridSpan w:val="2"/>
            <w:tcMar>
              <w:left w:w="0" w:type="dxa"/>
              <w:right w:w="0" w:type="dxa"/>
            </w:tcMar>
            <w:vAlign w:val="center"/>
          </w:tcPr>
          <w:p w14:paraId="1373BF12">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0.0284***</w:t>
            </w:r>
          </w:p>
        </w:tc>
        <w:tc>
          <w:tcPr>
            <w:tcW w:w="1051" w:type="dxa"/>
            <w:gridSpan w:val="2"/>
            <w:tcMar>
              <w:left w:w="0" w:type="dxa"/>
              <w:right w:w="0" w:type="dxa"/>
            </w:tcMar>
            <w:vAlign w:val="center"/>
          </w:tcPr>
          <w:p w14:paraId="5A75E0FE">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0.0283***</w:t>
            </w:r>
          </w:p>
        </w:tc>
        <w:tc>
          <w:tcPr>
            <w:tcW w:w="1051" w:type="dxa"/>
            <w:gridSpan w:val="2"/>
            <w:tcMar>
              <w:left w:w="0" w:type="dxa"/>
              <w:right w:w="0" w:type="dxa"/>
            </w:tcMar>
            <w:vAlign w:val="center"/>
          </w:tcPr>
          <w:p w14:paraId="774546BD">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0.0313***</w:t>
            </w:r>
          </w:p>
        </w:tc>
        <w:tc>
          <w:tcPr>
            <w:tcW w:w="1051" w:type="dxa"/>
            <w:gridSpan w:val="2"/>
            <w:tcMar>
              <w:left w:w="0" w:type="dxa"/>
              <w:right w:w="0" w:type="dxa"/>
            </w:tcMar>
            <w:vAlign w:val="center"/>
          </w:tcPr>
          <w:p w14:paraId="37B7B207">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0.0276***</w:t>
            </w:r>
          </w:p>
        </w:tc>
        <w:tc>
          <w:tcPr>
            <w:tcW w:w="1051" w:type="dxa"/>
            <w:gridSpan w:val="2"/>
            <w:tcMar>
              <w:left w:w="0" w:type="dxa"/>
              <w:right w:w="0" w:type="dxa"/>
            </w:tcMar>
            <w:vAlign w:val="center"/>
          </w:tcPr>
          <w:p w14:paraId="1D3589A4">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0.0283***</w:t>
            </w:r>
          </w:p>
        </w:tc>
      </w:tr>
      <w:tr w14:paraId="2FCB3E7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2ED809A9">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30F76B44">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1EDAE580">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(0.002)</w:t>
            </w:r>
          </w:p>
        </w:tc>
        <w:tc>
          <w:tcPr>
            <w:tcW w:w="1051" w:type="dxa"/>
            <w:gridSpan w:val="2"/>
            <w:tcMar>
              <w:left w:w="0" w:type="dxa"/>
              <w:right w:w="0" w:type="dxa"/>
            </w:tcMar>
            <w:vAlign w:val="center"/>
          </w:tcPr>
          <w:p w14:paraId="4EA31227">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(0.003)</w:t>
            </w:r>
          </w:p>
        </w:tc>
        <w:tc>
          <w:tcPr>
            <w:tcW w:w="1051" w:type="dxa"/>
            <w:gridSpan w:val="2"/>
            <w:tcMar>
              <w:left w:w="0" w:type="dxa"/>
              <w:right w:w="0" w:type="dxa"/>
            </w:tcMar>
            <w:vAlign w:val="center"/>
          </w:tcPr>
          <w:p w14:paraId="60FC33EA">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(0.003)</w:t>
            </w:r>
          </w:p>
        </w:tc>
        <w:tc>
          <w:tcPr>
            <w:tcW w:w="1051" w:type="dxa"/>
            <w:gridSpan w:val="2"/>
            <w:tcMar>
              <w:left w:w="0" w:type="dxa"/>
              <w:right w:w="0" w:type="dxa"/>
            </w:tcMar>
            <w:vAlign w:val="center"/>
          </w:tcPr>
          <w:p w14:paraId="4660785E">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(0.003)</w:t>
            </w:r>
          </w:p>
        </w:tc>
        <w:tc>
          <w:tcPr>
            <w:tcW w:w="1051" w:type="dxa"/>
            <w:gridSpan w:val="2"/>
            <w:tcMar>
              <w:left w:w="0" w:type="dxa"/>
              <w:right w:w="0" w:type="dxa"/>
            </w:tcMar>
            <w:vAlign w:val="center"/>
          </w:tcPr>
          <w:p w14:paraId="7DF67840">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(0.003)</w:t>
            </w:r>
          </w:p>
        </w:tc>
        <w:tc>
          <w:tcPr>
            <w:tcW w:w="1051" w:type="dxa"/>
            <w:gridSpan w:val="2"/>
            <w:tcMar>
              <w:left w:w="0" w:type="dxa"/>
              <w:right w:w="0" w:type="dxa"/>
            </w:tcMar>
            <w:vAlign w:val="center"/>
          </w:tcPr>
          <w:p w14:paraId="737021BD">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(0.003)</w:t>
            </w:r>
          </w:p>
        </w:tc>
      </w:tr>
      <w:tr w14:paraId="26A065F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2328C10A">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AII</w:t>
            </w:r>
          </w:p>
        </w:tc>
        <w:tc>
          <w:tcPr>
            <w:tcW w:w="1051" w:type="dxa"/>
            <w:gridSpan w:val="2"/>
            <w:tcMar>
              <w:left w:w="0" w:type="dxa"/>
              <w:right w:w="0" w:type="dxa"/>
            </w:tcMar>
            <w:vAlign w:val="center"/>
          </w:tcPr>
          <w:p w14:paraId="6D8253A1">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3BCF2DC4">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0.2784***</w:t>
            </w:r>
          </w:p>
        </w:tc>
        <w:tc>
          <w:tcPr>
            <w:tcW w:w="1051" w:type="dxa"/>
            <w:gridSpan w:val="2"/>
            <w:tcMar>
              <w:left w:w="0" w:type="dxa"/>
              <w:right w:w="0" w:type="dxa"/>
            </w:tcMar>
            <w:vAlign w:val="center"/>
          </w:tcPr>
          <w:p w14:paraId="161B8FCC">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0.0733</w:t>
            </w:r>
          </w:p>
        </w:tc>
        <w:tc>
          <w:tcPr>
            <w:tcW w:w="1051" w:type="dxa"/>
            <w:gridSpan w:val="2"/>
            <w:tcMar>
              <w:left w:w="0" w:type="dxa"/>
              <w:right w:w="0" w:type="dxa"/>
            </w:tcMar>
            <w:vAlign w:val="center"/>
          </w:tcPr>
          <w:p w14:paraId="3A68458C">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0.2479*</w:t>
            </w:r>
          </w:p>
        </w:tc>
        <w:tc>
          <w:tcPr>
            <w:tcW w:w="1051" w:type="dxa"/>
            <w:gridSpan w:val="2"/>
            <w:tcMar>
              <w:left w:w="0" w:type="dxa"/>
              <w:right w:w="0" w:type="dxa"/>
            </w:tcMar>
            <w:vAlign w:val="center"/>
          </w:tcPr>
          <w:p w14:paraId="4D40EDCA">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-0.2770**</w:t>
            </w:r>
          </w:p>
        </w:tc>
        <w:tc>
          <w:tcPr>
            <w:tcW w:w="1051" w:type="dxa"/>
            <w:gridSpan w:val="2"/>
            <w:tcMar>
              <w:left w:w="0" w:type="dxa"/>
              <w:right w:w="0" w:type="dxa"/>
            </w:tcMar>
            <w:vAlign w:val="center"/>
          </w:tcPr>
          <w:p w14:paraId="4EEF47BB">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0.3445***</w:t>
            </w:r>
          </w:p>
        </w:tc>
        <w:tc>
          <w:tcPr>
            <w:tcW w:w="1051" w:type="dxa"/>
            <w:gridSpan w:val="2"/>
            <w:tcMar>
              <w:left w:w="0" w:type="dxa"/>
              <w:right w:w="0" w:type="dxa"/>
            </w:tcMar>
            <w:vAlign w:val="center"/>
          </w:tcPr>
          <w:p w14:paraId="4C9FB99C">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0.0878</w:t>
            </w:r>
          </w:p>
        </w:tc>
      </w:tr>
      <w:tr w14:paraId="10AA9F9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7275B6AF">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28EE499E">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588AF78E">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(0.106)</w:t>
            </w:r>
          </w:p>
        </w:tc>
        <w:tc>
          <w:tcPr>
            <w:tcW w:w="1051" w:type="dxa"/>
            <w:gridSpan w:val="2"/>
            <w:tcMar>
              <w:left w:w="0" w:type="dxa"/>
              <w:right w:w="0" w:type="dxa"/>
            </w:tcMar>
            <w:vAlign w:val="center"/>
          </w:tcPr>
          <w:p w14:paraId="6647F586">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(0.126)</w:t>
            </w:r>
          </w:p>
        </w:tc>
        <w:tc>
          <w:tcPr>
            <w:tcW w:w="1051" w:type="dxa"/>
            <w:gridSpan w:val="2"/>
            <w:tcMar>
              <w:left w:w="0" w:type="dxa"/>
              <w:right w:w="0" w:type="dxa"/>
            </w:tcMar>
            <w:vAlign w:val="center"/>
          </w:tcPr>
          <w:p w14:paraId="71A307F1">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(0.127)</w:t>
            </w:r>
          </w:p>
        </w:tc>
        <w:tc>
          <w:tcPr>
            <w:tcW w:w="1051" w:type="dxa"/>
            <w:gridSpan w:val="2"/>
            <w:tcMar>
              <w:left w:w="0" w:type="dxa"/>
              <w:right w:w="0" w:type="dxa"/>
            </w:tcMar>
            <w:vAlign w:val="center"/>
          </w:tcPr>
          <w:p w14:paraId="1674A8D5">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(0.120)</w:t>
            </w:r>
          </w:p>
        </w:tc>
        <w:tc>
          <w:tcPr>
            <w:tcW w:w="1051" w:type="dxa"/>
            <w:gridSpan w:val="2"/>
            <w:tcMar>
              <w:left w:w="0" w:type="dxa"/>
              <w:right w:w="0" w:type="dxa"/>
            </w:tcMar>
            <w:vAlign w:val="center"/>
          </w:tcPr>
          <w:p w14:paraId="147DA5A9">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(0.125)</w:t>
            </w:r>
          </w:p>
        </w:tc>
        <w:tc>
          <w:tcPr>
            <w:tcW w:w="1051" w:type="dxa"/>
            <w:gridSpan w:val="2"/>
            <w:tcMar>
              <w:left w:w="0" w:type="dxa"/>
              <w:right w:w="0" w:type="dxa"/>
            </w:tcMar>
            <w:vAlign w:val="center"/>
          </w:tcPr>
          <w:p w14:paraId="3348F34D">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(0.116)</w:t>
            </w:r>
          </w:p>
        </w:tc>
      </w:tr>
      <w:tr w14:paraId="621A2D1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7CB892A1">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RND</w:t>
            </w:r>
          </w:p>
        </w:tc>
        <w:tc>
          <w:tcPr>
            <w:tcW w:w="1051" w:type="dxa"/>
            <w:gridSpan w:val="2"/>
            <w:tcMar>
              <w:left w:w="0" w:type="dxa"/>
              <w:right w:w="0" w:type="dxa"/>
            </w:tcMar>
            <w:vAlign w:val="center"/>
          </w:tcPr>
          <w:p w14:paraId="4FDE2E96">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19AE1353">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0.0303***</w:t>
            </w:r>
          </w:p>
        </w:tc>
        <w:tc>
          <w:tcPr>
            <w:tcW w:w="1051" w:type="dxa"/>
            <w:gridSpan w:val="2"/>
            <w:tcMar>
              <w:left w:w="0" w:type="dxa"/>
              <w:right w:w="0" w:type="dxa"/>
            </w:tcMar>
            <w:vAlign w:val="center"/>
          </w:tcPr>
          <w:p w14:paraId="46282108">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0.0403***</w:t>
            </w:r>
          </w:p>
        </w:tc>
        <w:tc>
          <w:tcPr>
            <w:tcW w:w="1051" w:type="dxa"/>
            <w:gridSpan w:val="2"/>
            <w:tcMar>
              <w:left w:w="0" w:type="dxa"/>
              <w:right w:w="0" w:type="dxa"/>
            </w:tcMar>
            <w:vAlign w:val="center"/>
          </w:tcPr>
          <w:p w14:paraId="0C880D7F">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0.0349***</w:t>
            </w:r>
          </w:p>
        </w:tc>
        <w:tc>
          <w:tcPr>
            <w:tcW w:w="1051" w:type="dxa"/>
            <w:gridSpan w:val="2"/>
            <w:tcMar>
              <w:left w:w="0" w:type="dxa"/>
              <w:right w:w="0" w:type="dxa"/>
            </w:tcMar>
            <w:vAlign w:val="center"/>
          </w:tcPr>
          <w:p w14:paraId="5A7A6F97">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0.0264**</w:t>
            </w:r>
          </w:p>
        </w:tc>
        <w:tc>
          <w:tcPr>
            <w:tcW w:w="1051" w:type="dxa"/>
            <w:gridSpan w:val="2"/>
            <w:tcMar>
              <w:left w:w="0" w:type="dxa"/>
              <w:right w:w="0" w:type="dxa"/>
            </w:tcMar>
            <w:vAlign w:val="center"/>
          </w:tcPr>
          <w:p w14:paraId="2617E560">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0.0378***</w:t>
            </w:r>
          </w:p>
        </w:tc>
        <w:tc>
          <w:tcPr>
            <w:tcW w:w="1051" w:type="dxa"/>
            <w:gridSpan w:val="2"/>
            <w:tcMar>
              <w:left w:w="0" w:type="dxa"/>
              <w:right w:w="0" w:type="dxa"/>
            </w:tcMar>
            <w:vAlign w:val="center"/>
          </w:tcPr>
          <w:p w14:paraId="7DC74E77">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0.0439***</w:t>
            </w:r>
          </w:p>
        </w:tc>
      </w:tr>
      <w:tr w14:paraId="73F4EA2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2140503A">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3B52937E">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69F11B1E">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(0.010)</w:t>
            </w:r>
          </w:p>
        </w:tc>
        <w:tc>
          <w:tcPr>
            <w:tcW w:w="1051" w:type="dxa"/>
            <w:gridSpan w:val="2"/>
            <w:tcMar>
              <w:left w:w="0" w:type="dxa"/>
              <w:right w:w="0" w:type="dxa"/>
            </w:tcMar>
            <w:vAlign w:val="center"/>
          </w:tcPr>
          <w:p w14:paraId="61AA3FA3">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(0.012)</w:t>
            </w:r>
          </w:p>
        </w:tc>
        <w:tc>
          <w:tcPr>
            <w:tcW w:w="1051" w:type="dxa"/>
            <w:gridSpan w:val="2"/>
            <w:tcMar>
              <w:left w:w="0" w:type="dxa"/>
              <w:right w:w="0" w:type="dxa"/>
            </w:tcMar>
            <w:vAlign w:val="center"/>
          </w:tcPr>
          <w:p w14:paraId="5B584613">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(0.011)</w:t>
            </w:r>
          </w:p>
        </w:tc>
        <w:tc>
          <w:tcPr>
            <w:tcW w:w="1051" w:type="dxa"/>
            <w:gridSpan w:val="2"/>
            <w:tcMar>
              <w:left w:w="0" w:type="dxa"/>
              <w:right w:w="0" w:type="dxa"/>
            </w:tcMar>
            <w:vAlign w:val="center"/>
          </w:tcPr>
          <w:p w14:paraId="64853C63">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(0.011)</w:t>
            </w:r>
          </w:p>
        </w:tc>
        <w:tc>
          <w:tcPr>
            <w:tcW w:w="1051" w:type="dxa"/>
            <w:gridSpan w:val="2"/>
            <w:tcMar>
              <w:left w:w="0" w:type="dxa"/>
              <w:right w:w="0" w:type="dxa"/>
            </w:tcMar>
            <w:vAlign w:val="center"/>
          </w:tcPr>
          <w:p w14:paraId="666A9AF9">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(0.011)</w:t>
            </w:r>
          </w:p>
        </w:tc>
        <w:tc>
          <w:tcPr>
            <w:tcW w:w="1051" w:type="dxa"/>
            <w:gridSpan w:val="2"/>
            <w:tcMar>
              <w:left w:w="0" w:type="dxa"/>
              <w:right w:w="0" w:type="dxa"/>
            </w:tcMar>
            <w:vAlign w:val="center"/>
          </w:tcPr>
          <w:p w14:paraId="22C829B6">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(0.011)</w:t>
            </w:r>
          </w:p>
        </w:tc>
      </w:tr>
      <w:tr w14:paraId="243B1D7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15C6EAFA">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AMP</w:t>
            </w:r>
          </w:p>
        </w:tc>
        <w:tc>
          <w:tcPr>
            <w:tcW w:w="1051" w:type="dxa"/>
            <w:gridSpan w:val="2"/>
            <w:tcMar>
              <w:left w:w="0" w:type="dxa"/>
              <w:right w:w="0" w:type="dxa"/>
            </w:tcMar>
            <w:vAlign w:val="center"/>
          </w:tcPr>
          <w:p w14:paraId="0B313D62">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7B0C93CB">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0.0102***</w:t>
            </w:r>
          </w:p>
        </w:tc>
        <w:tc>
          <w:tcPr>
            <w:tcW w:w="1051" w:type="dxa"/>
            <w:gridSpan w:val="2"/>
            <w:tcMar>
              <w:left w:w="0" w:type="dxa"/>
              <w:right w:w="0" w:type="dxa"/>
            </w:tcMar>
            <w:vAlign w:val="center"/>
          </w:tcPr>
          <w:p w14:paraId="2C8EBF9E">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0.0057***</w:t>
            </w:r>
          </w:p>
        </w:tc>
        <w:tc>
          <w:tcPr>
            <w:tcW w:w="1051" w:type="dxa"/>
            <w:gridSpan w:val="2"/>
            <w:tcMar>
              <w:left w:w="0" w:type="dxa"/>
              <w:right w:w="0" w:type="dxa"/>
            </w:tcMar>
            <w:vAlign w:val="center"/>
          </w:tcPr>
          <w:p w14:paraId="7B59E763">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0.0070***</w:t>
            </w:r>
          </w:p>
        </w:tc>
        <w:tc>
          <w:tcPr>
            <w:tcW w:w="1051" w:type="dxa"/>
            <w:gridSpan w:val="2"/>
            <w:tcMar>
              <w:left w:w="0" w:type="dxa"/>
              <w:right w:w="0" w:type="dxa"/>
            </w:tcMar>
            <w:vAlign w:val="center"/>
          </w:tcPr>
          <w:p w14:paraId="430EBCBF">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0.0076***</w:t>
            </w:r>
          </w:p>
        </w:tc>
        <w:tc>
          <w:tcPr>
            <w:tcW w:w="1051" w:type="dxa"/>
            <w:gridSpan w:val="2"/>
            <w:tcMar>
              <w:left w:w="0" w:type="dxa"/>
              <w:right w:w="0" w:type="dxa"/>
            </w:tcMar>
            <w:vAlign w:val="center"/>
          </w:tcPr>
          <w:p w14:paraId="276BC7ED">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0.0040**</w:t>
            </w:r>
          </w:p>
        </w:tc>
        <w:tc>
          <w:tcPr>
            <w:tcW w:w="1051" w:type="dxa"/>
            <w:gridSpan w:val="2"/>
            <w:tcMar>
              <w:left w:w="0" w:type="dxa"/>
              <w:right w:w="0" w:type="dxa"/>
            </w:tcMar>
            <w:vAlign w:val="center"/>
          </w:tcPr>
          <w:p w14:paraId="6CE18F16">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0.0077***</w:t>
            </w:r>
          </w:p>
        </w:tc>
      </w:tr>
      <w:tr w14:paraId="5B3A37D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0AE6AD1C">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4E8BD234">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650BF638">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(0.002)</w:t>
            </w:r>
          </w:p>
        </w:tc>
        <w:tc>
          <w:tcPr>
            <w:tcW w:w="1051" w:type="dxa"/>
            <w:gridSpan w:val="2"/>
            <w:tcMar>
              <w:left w:w="0" w:type="dxa"/>
              <w:right w:w="0" w:type="dxa"/>
            </w:tcMar>
            <w:vAlign w:val="center"/>
          </w:tcPr>
          <w:p w14:paraId="16F1C0AD">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(0.002)</w:t>
            </w:r>
          </w:p>
        </w:tc>
        <w:tc>
          <w:tcPr>
            <w:tcW w:w="1051" w:type="dxa"/>
            <w:gridSpan w:val="2"/>
            <w:tcMar>
              <w:left w:w="0" w:type="dxa"/>
              <w:right w:w="0" w:type="dxa"/>
            </w:tcMar>
            <w:vAlign w:val="center"/>
          </w:tcPr>
          <w:p w14:paraId="537969C3">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(0.002)</w:t>
            </w:r>
          </w:p>
        </w:tc>
        <w:tc>
          <w:tcPr>
            <w:tcW w:w="1051" w:type="dxa"/>
            <w:gridSpan w:val="2"/>
            <w:tcMar>
              <w:left w:w="0" w:type="dxa"/>
              <w:right w:w="0" w:type="dxa"/>
            </w:tcMar>
            <w:vAlign w:val="center"/>
          </w:tcPr>
          <w:p w14:paraId="73DB5187">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(0.002)</w:t>
            </w:r>
          </w:p>
        </w:tc>
        <w:tc>
          <w:tcPr>
            <w:tcW w:w="1051" w:type="dxa"/>
            <w:gridSpan w:val="2"/>
            <w:tcMar>
              <w:left w:w="0" w:type="dxa"/>
              <w:right w:w="0" w:type="dxa"/>
            </w:tcMar>
            <w:vAlign w:val="center"/>
          </w:tcPr>
          <w:p w14:paraId="3FD39344">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(0.002)</w:t>
            </w:r>
          </w:p>
        </w:tc>
        <w:tc>
          <w:tcPr>
            <w:tcW w:w="1051" w:type="dxa"/>
            <w:gridSpan w:val="2"/>
            <w:tcMar>
              <w:left w:w="0" w:type="dxa"/>
              <w:right w:w="0" w:type="dxa"/>
            </w:tcMar>
            <w:vAlign w:val="center"/>
          </w:tcPr>
          <w:p w14:paraId="32C56ED9">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(0.002)</w:t>
            </w:r>
          </w:p>
        </w:tc>
      </w:tr>
      <w:tr w14:paraId="5EB8297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637C6DF2">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FCR</w:t>
            </w:r>
          </w:p>
        </w:tc>
        <w:tc>
          <w:tcPr>
            <w:tcW w:w="1051" w:type="dxa"/>
            <w:gridSpan w:val="2"/>
            <w:tcMar>
              <w:left w:w="0" w:type="dxa"/>
              <w:right w:w="0" w:type="dxa"/>
            </w:tcMar>
            <w:vAlign w:val="center"/>
          </w:tcPr>
          <w:p w14:paraId="3792C404">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1476A4E6">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0.1464**</w:t>
            </w:r>
          </w:p>
        </w:tc>
        <w:tc>
          <w:tcPr>
            <w:tcW w:w="1051" w:type="dxa"/>
            <w:gridSpan w:val="2"/>
            <w:tcMar>
              <w:left w:w="0" w:type="dxa"/>
              <w:right w:w="0" w:type="dxa"/>
            </w:tcMar>
            <w:vAlign w:val="center"/>
          </w:tcPr>
          <w:p w14:paraId="26A0BE0F">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0.1393*</w:t>
            </w:r>
          </w:p>
        </w:tc>
        <w:tc>
          <w:tcPr>
            <w:tcW w:w="1051" w:type="dxa"/>
            <w:gridSpan w:val="2"/>
            <w:tcMar>
              <w:left w:w="0" w:type="dxa"/>
              <w:right w:w="0" w:type="dxa"/>
            </w:tcMar>
            <w:vAlign w:val="center"/>
          </w:tcPr>
          <w:p w14:paraId="7FA80941">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0.1375*</w:t>
            </w:r>
          </w:p>
        </w:tc>
        <w:tc>
          <w:tcPr>
            <w:tcW w:w="1051" w:type="dxa"/>
            <w:gridSpan w:val="2"/>
            <w:tcMar>
              <w:left w:w="0" w:type="dxa"/>
              <w:right w:w="0" w:type="dxa"/>
            </w:tcMar>
            <w:vAlign w:val="center"/>
          </w:tcPr>
          <w:p w14:paraId="6C781193">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0.1205*</w:t>
            </w:r>
          </w:p>
        </w:tc>
        <w:tc>
          <w:tcPr>
            <w:tcW w:w="1051" w:type="dxa"/>
            <w:gridSpan w:val="2"/>
            <w:tcMar>
              <w:left w:w="0" w:type="dxa"/>
              <w:right w:w="0" w:type="dxa"/>
            </w:tcMar>
            <w:vAlign w:val="center"/>
          </w:tcPr>
          <w:p w14:paraId="5547241F">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0.1748**</w:t>
            </w:r>
          </w:p>
        </w:tc>
        <w:tc>
          <w:tcPr>
            <w:tcW w:w="1051" w:type="dxa"/>
            <w:gridSpan w:val="2"/>
            <w:tcMar>
              <w:left w:w="0" w:type="dxa"/>
              <w:right w:w="0" w:type="dxa"/>
            </w:tcMar>
            <w:vAlign w:val="center"/>
          </w:tcPr>
          <w:p w14:paraId="25418C82">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0.1222*</w:t>
            </w:r>
          </w:p>
        </w:tc>
      </w:tr>
      <w:tr w14:paraId="56F3B5F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5A1CD7E9">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1F93D944">
            <w:pPr>
              <w:widowControl/>
              <w:snapToGrid w:val="0"/>
              <w:spacing w:line="240" w:lineRule="auto"/>
              <w:jc w:val="left"/>
              <w:rPr>
                <w:rFonts w:ascii="Times New Roman" w:hAnsi="Times New Roman" w:eastAsia="宋体" w:cs="Times New Roman"/>
                <w:sz w:val="18"/>
                <w:szCs w:val="18"/>
              </w:rPr>
            </w:pPr>
          </w:p>
        </w:tc>
        <w:tc>
          <w:tcPr>
            <w:tcW w:w="1051" w:type="dxa"/>
            <w:gridSpan w:val="2"/>
            <w:tcMar>
              <w:left w:w="0" w:type="dxa"/>
              <w:right w:w="0" w:type="dxa"/>
            </w:tcMar>
            <w:vAlign w:val="center"/>
          </w:tcPr>
          <w:p w14:paraId="0602D475">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(0.066)</w:t>
            </w:r>
          </w:p>
        </w:tc>
        <w:tc>
          <w:tcPr>
            <w:tcW w:w="1051" w:type="dxa"/>
            <w:gridSpan w:val="2"/>
            <w:tcMar>
              <w:left w:w="0" w:type="dxa"/>
              <w:right w:w="0" w:type="dxa"/>
            </w:tcMar>
            <w:vAlign w:val="center"/>
          </w:tcPr>
          <w:p w14:paraId="359D3C4F">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(0.077)</w:t>
            </w:r>
          </w:p>
        </w:tc>
        <w:tc>
          <w:tcPr>
            <w:tcW w:w="1051" w:type="dxa"/>
            <w:gridSpan w:val="2"/>
            <w:tcMar>
              <w:left w:w="0" w:type="dxa"/>
              <w:right w:w="0" w:type="dxa"/>
            </w:tcMar>
            <w:vAlign w:val="center"/>
          </w:tcPr>
          <w:p w14:paraId="6C1F7831">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(0.074)</w:t>
            </w:r>
          </w:p>
        </w:tc>
        <w:tc>
          <w:tcPr>
            <w:tcW w:w="1051" w:type="dxa"/>
            <w:gridSpan w:val="2"/>
            <w:tcMar>
              <w:left w:w="0" w:type="dxa"/>
              <w:right w:w="0" w:type="dxa"/>
            </w:tcMar>
            <w:vAlign w:val="center"/>
          </w:tcPr>
          <w:p w14:paraId="0E52D34F">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(0.072)</w:t>
            </w:r>
          </w:p>
        </w:tc>
        <w:tc>
          <w:tcPr>
            <w:tcW w:w="1051" w:type="dxa"/>
            <w:gridSpan w:val="2"/>
            <w:tcMar>
              <w:left w:w="0" w:type="dxa"/>
              <w:right w:w="0" w:type="dxa"/>
            </w:tcMar>
            <w:vAlign w:val="center"/>
          </w:tcPr>
          <w:p w14:paraId="1A813992">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(0.073)</w:t>
            </w:r>
          </w:p>
        </w:tc>
        <w:tc>
          <w:tcPr>
            <w:tcW w:w="1051" w:type="dxa"/>
            <w:gridSpan w:val="2"/>
            <w:tcMar>
              <w:left w:w="0" w:type="dxa"/>
              <w:right w:w="0" w:type="dxa"/>
            </w:tcMar>
            <w:vAlign w:val="center"/>
          </w:tcPr>
          <w:p w14:paraId="6A8A4E88">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(0.073)</w:t>
            </w:r>
          </w:p>
        </w:tc>
      </w:tr>
      <w:tr w14:paraId="17F4096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5E987030">
            <w:pPr>
              <w:widowControl/>
              <w:snapToGrid w:val="0"/>
              <w:spacing w:line="240" w:lineRule="auto"/>
              <w:jc w:val="left"/>
              <w:rPr>
                <w:rFonts w:ascii="Times New Roman" w:hAnsi="Times New Roman" w:eastAsia="宋体" w:cs="Times New Roman"/>
                <w:i/>
                <w:iCs/>
                <w:sz w:val="18"/>
                <w:szCs w:val="18"/>
              </w:rPr>
            </w:pPr>
            <w:r>
              <w:rPr>
                <w:rFonts w:ascii="Times New Roman" w:hAnsi="Times New Roman" w:eastAsia="宋体" w:cs="Times New Roman"/>
                <w:i/>
                <w:iCs/>
                <w:sz w:val="18"/>
                <w:szCs w:val="18"/>
              </w:rPr>
              <w:t>cons</w:t>
            </w:r>
          </w:p>
        </w:tc>
        <w:tc>
          <w:tcPr>
            <w:tcW w:w="1051" w:type="dxa"/>
            <w:gridSpan w:val="2"/>
            <w:tcMar>
              <w:left w:w="0" w:type="dxa"/>
              <w:right w:w="0" w:type="dxa"/>
            </w:tcMar>
            <w:vAlign w:val="center"/>
          </w:tcPr>
          <w:p w14:paraId="1914C8C4">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0.0953***</w:t>
            </w:r>
          </w:p>
        </w:tc>
        <w:tc>
          <w:tcPr>
            <w:tcW w:w="1051" w:type="dxa"/>
            <w:gridSpan w:val="2"/>
            <w:tcMar>
              <w:left w:w="0" w:type="dxa"/>
              <w:right w:w="0" w:type="dxa"/>
            </w:tcMar>
            <w:vAlign w:val="center"/>
          </w:tcPr>
          <w:p w14:paraId="4D66CD30">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-0.0116</w:t>
            </w:r>
          </w:p>
        </w:tc>
        <w:tc>
          <w:tcPr>
            <w:tcW w:w="1051" w:type="dxa"/>
            <w:gridSpan w:val="2"/>
            <w:tcMar>
              <w:left w:w="0" w:type="dxa"/>
              <w:right w:w="0" w:type="dxa"/>
            </w:tcMar>
            <w:vAlign w:val="center"/>
          </w:tcPr>
          <w:p w14:paraId="7BDA76F0">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0.0818***</w:t>
            </w:r>
          </w:p>
        </w:tc>
        <w:tc>
          <w:tcPr>
            <w:tcW w:w="1051" w:type="dxa"/>
            <w:gridSpan w:val="2"/>
            <w:tcMar>
              <w:left w:w="0" w:type="dxa"/>
              <w:right w:w="0" w:type="dxa"/>
            </w:tcMar>
            <w:vAlign w:val="center"/>
          </w:tcPr>
          <w:p w14:paraId="0711C07D">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0.0509**</w:t>
            </w:r>
          </w:p>
        </w:tc>
        <w:tc>
          <w:tcPr>
            <w:tcW w:w="1051" w:type="dxa"/>
            <w:gridSpan w:val="2"/>
            <w:tcMar>
              <w:left w:w="0" w:type="dxa"/>
              <w:right w:w="0" w:type="dxa"/>
            </w:tcMar>
            <w:vAlign w:val="center"/>
          </w:tcPr>
          <w:p w14:paraId="4F123315">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0.0883***</w:t>
            </w:r>
          </w:p>
        </w:tc>
        <w:tc>
          <w:tcPr>
            <w:tcW w:w="1051" w:type="dxa"/>
            <w:gridSpan w:val="2"/>
            <w:tcMar>
              <w:left w:w="0" w:type="dxa"/>
              <w:right w:w="0" w:type="dxa"/>
            </w:tcMar>
            <w:vAlign w:val="center"/>
          </w:tcPr>
          <w:p w14:paraId="083E84E6">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0.0437*</w:t>
            </w:r>
          </w:p>
        </w:tc>
        <w:tc>
          <w:tcPr>
            <w:tcW w:w="1051" w:type="dxa"/>
            <w:gridSpan w:val="2"/>
            <w:tcMar>
              <w:left w:w="0" w:type="dxa"/>
              <w:right w:w="0" w:type="dxa"/>
            </w:tcMar>
            <w:vAlign w:val="center"/>
          </w:tcPr>
          <w:p w14:paraId="617D1DFB">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0.0671***</w:t>
            </w:r>
          </w:p>
        </w:tc>
      </w:tr>
      <w:tr w14:paraId="1D5ABF0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081907B1">
            <w:pPr>
              <w:widowControl/>
              <w:snapToGrid w:val="0"/>
              <w:spacing w:line="240" w:lineRule="auto"/>
              <w:jc w:val="left"/>
              <w:rPr>
                <w:rFonts w:ascii="Times New Roman" w:hAnsi="Times New Roman" w:eastAsia="宋体" w:cs="Times New Roman"/>
                <w:i/>
                <w:iCs/>
                <w:sz w:val="18"/>
                <w:szCs w:val="18"/>
              </w:rPr>
            </w:pPr>
          </w:p>
        </w:tc>
        <w:tc>
          <w:tcPr>
            <w:tcW w:w="1051" w:type="dxa"/>
            <w:gridSpan w:val="2"/>
            <w:tcMar>
              <w:left w:w="0" w:type="dxa"/>
              <w:right w:w="0" w:type="dxa"/>
            </w:tcMar>
            <w:vAlign w:val="center"/>
          </w:tcPr>
          <w:p w14:paraId="4348B3EB">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(0.012)</w:t>
            </w:r>
          </w:p>
        </w:tc>
        <w:tc>
          <w:tcPr>
            <w:tcW w:w="1051" w:type="dxa"/>
            <w:gridSpan w:val="2"/>
            <w:tcMar>
              <w:left w:w="0" w:type="dxa"/>
              <w:right w:w="0" w:type="dxa"/>
            </w:tcMar>
            <w:vAlign w:val="center"/>
          </w:tcPr>
          <w:p w14:paraId="572B1510">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(0.023)</w:t>
            </w:r>
          </w:p>
        </w:tc>
        <w:tc>
          <w:tcPr>
            <w:tcW w:w="1051" w:type="dxa"/>
            <w:gridSpan w:val="2"/>
            <w:tcMar>
              <w:left w:w="0" w:type="dxa"/>
              <w:right w:w="0" w:type="dxa"/>
            </w:tcMar>
            <w:vAlign w:val="center"/>
          </w:tcPr>
          <w:p w14:paraId="2AD3E6B9">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(0.026)</w:t>
            </w:r>
          </w:p>
        </w:tc>
        <w:tc>
          <w:tcPr>
            <w:tcW w:w="1051" w:type="dxa"/>
            <w:gridSpan w:val="2"/>
            <w:tcMar>
              <w:left w:w="0" w:type="dxa"/>
              <w:right w:w="0" w:type="dxa"/>
            </w:tcMar>
            <w:vAlign w:val="center"/>
          </w:tcPr>
          <w:p w14:paraId="1E470DDE">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(0.025)</w:t>
            </w:r>
          </w:p>
        </w:tc>
        <w:tc>
          <w:tcPr>
            <w:tcW w:w="1051" w:type="dxa"/>
            <w:gridSpan w:val="2"/>
            <w:tcMar>
              <w:left w:w="0" w:type="dxa"/>
              <w:right w:w="0" w:type="dxa"/>
            </w:tcMar>
            <w:vAlign w:val="center"/>
          </w:tcPr>
          <w:p w14:paraId="26EBBC24">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(0.022)</w:t>
            </w:r>
          </w:p>
        </w:tc>
        <w:tc>
          <w:tcPr>
            <w:tcW w:w="1051" w:type="dxa"/>
            <w:gridSpan w:val="2"/>
            <w:tcMar>
              <w:left w:w="0" w:type="dxa"/>
              <w:right w:w="0" w:type="dxa"/>
            </w:tcMar>
            <w:vAlign w:val="center"/>
          </w:tcPr>
          <w:p w14:paraId="3C9D7749">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(0.024)</w:t>
            </w:r>
          </w:p>
        </w:tc>
        <w:tc>
          <w:tcPr>
            <w:tcW w:w="1051" w:type="dxa"/>
            <w:gridSpan w:val="2"/>
            <w:tcMar>
              <w:left w:w="0" w:type="dxa"/>
              <w:right w:w="0" w:type="dxa"/>
            </w:tcMar>
            <w:vAlign w:val="center"/>
          </w:tcPr>
          <w:p w14:paraId="7FF60CEC">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(0.023)</w:t>
            </w:r>
          </w:p>
        </w:tc>
      </w:tr>
      <w:tr w14:paraId="61E0D4F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3D5F7524">
            <w:pPr>
              <w:widowControl/>
              <w:tabs>
                <w:tab w:val="left" w:pos="600"/>
              </w:tabs>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Year FE</w:t>
            </w:r>
          </w:p>
        </w:tc>
        <w:tc>
          <w:tcPr>
            <w:tcW w:w="1051" w:type="dxa"/>
            <w:gridSpan w:val="2"/>
            <w:tcMar>
              <w:left w:w="0" w:type="dxa"/>
              <w:right w:w="0" w:type="dxa"/>
            </w:tcMar>
            <w:vAlign w:val="center"/>
          </w:tcPr>
          <w:p w14:paraId="121DBAC0">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1051" w:type="dxa"/>
            <w:gridSpan w:val="2"/>
            <w:tcMar>
              <w:left w:w="0" w:type="dxa"/>
              <w:right w:w="0" w:type="dxa"/>
            </w:tcMar>
            <w:vAlign w:val="center"/>
          </w:tcPr>
          <w:p w14:paraId="199214F8">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1051" w:type="dxa"/>
            <w:gridSpan w:val="2"/>
            <w:tcMar>
              <w:left w:w="0" w:type="dxa"/>
              <w:right w:w="0" w:type="dxa"/>
            </w:tcMar>
            <w:vAlign w:val="center"/>
          </w:tcPr>
          <w:p w14:paraId="143B30EF">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1051" w:type="dxa"/>
            <w:gridSpan w:val="2"/>
            <w:tcMar>
              <w:left w:w="0" w:type="dxa"/>
              <w:right w:w="0" w:type="dxa"/>
            </w:tcMar>
            <w:vAlign w:val="center"/>
          </w:tcPr>
          <w:p w14:paraId="3DD0F533">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1051" w:type="dxa"/>
            <w:gridSpan w:val="2"/>
            <w:tcMar>
              <w:left w:w="0" w:type="dxa"/>
              <w:right w:w="0" w:type="dxa"/>
            </w:tcMar>
            <w:vAlign w:val="center"/>
          </w:tcPr>
          <w:p w14:paraId="145B7E18">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1051" w:type="dxa"/>
            <w:gridSpan w:val="2"/>
            <w:tcMar>
              <w:left w:w="0" w:type="dxa"/>
              <w:right w:w="0" w:type="dxa"/>
            </w:tcMar>
            <w:vAlign w:val="center"/>
          </w:tcPr>
          <w:p w14:paraId="15012D06">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1051" w:type="dxa"/>
            <w:gridSpan w:val="2"/>
            <w:tcMar>
              <w:left w:w="0" w:type="dxa"/>
              <w:right w:w="0" w:type="dxa"/>
            </w:tcMar>
            <w:vAlign w:val="center"/>
          </w:tcPr>
          <w:p w14:paraId="6928EB89">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r>
      <w:tr w14:paraId="3AEA1E7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0957CF2C">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Province FE</w:t>
            </w:r>
          </w:p>
        </w:tc>
        <w:tc>
          <w:tcPr>
            <w:tcW w:w="1051" w:type="dxa"/>
            <w:gridSpan w:val="2"/>
            <w:tcMar>
              <w:left w:w="0" w:type="dxa"/>
              <w:right w:w="0" w:type="dxa"/>
            </w:tcMar>
            <w:vAlign w:val="center"/>
          </w:tcPr>
          <w:p w14:paraId="08B3759F">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1051" w:type="dxa"/>
            <w:gridSpan w:val="2"/>
            <w:tcMar>
              <w:left w:w="0" w:type="dxa"/>
              <w:right w:w="0" w:type="dxa"/>
            </w:tcMar>
            <w:vAlign w:val="center"/>
          </w:tcPr>
          <w:p w14:paraId="67B415CC">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1051" w:type="dxa"/>
            <w:gridSpan w:val="2"/>
            <w:tcMar>
              <w:left w:w="0" w:type="dxa"/>
              <w:right w:w="0" w:type="dxa"/>
            </w:tcMar>
            <w:vAlign w:val="center"/>
          </w:tcPr>
          <w:p w14:paraId="02B5266E">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1051" w:type="dxa"/>
            <w:gridSpan w:val="2"/>
            <w:tcMar>
              <w:left w:w="0" w:type="dxa"/>
              <w:right w:w="0" w:type="dxa"/>
            </w:tcMar>
            <w:vAlign w:val="center"/>
          </w:tcPr>
          <w:p w14:paraId="7A8FEBFA">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1051" w:type="dxa"/>
            <w:gridSpan w:val="2"/>
            <w:tcMar>
              <w:left w:w="0" w:type="dxa"/>
              <w:right w:w="0" w:type="dxa"/>
            </w:tcMar>
            <w:vAlign w:val="center"/>
          </w:tcPr>
          <w:p w14:paraId="7E5CC17E">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1051" w:type="dxa"/>
            <w:gridSpan w:val="2"/>
            <w:tcMar>
              <w:left w:w="0" w:type="dxa"/>
              <w:right w:w="0" w:type="dxa"/>
            </w:tcMar>
            <w:vAlign w:val="center"/>
          </w:tcPr>
          <w:p w14:paraId="4777F04A">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1051" w:type="dxa"/>
            <w:gridSpan w:val="2"/>
            <w:tcMar>
              <w:left w:w="0" w:type="dxa"/>
              <w:right w:w="0" w:type="dxa"/>
            </w:tcMar>
            <w:vAlign w:val="center"/>
          </w:tcPr>
          <w:p w14:paraId="5F4A27EA">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r>
      <w:tr w14:paraId="7799F53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429F88A2">
            <w:pPr>
              <w:widowControl/>
              <w:snapToGrid w:val="0"/>
              <w:spacing w:line="240" w:lineRule="auto"/>
              <w:jc w:val="left"/>
              <w:rPr>
                <w:rFonts w:ascii="Times New Roman" w:hAnsi="Times New Roman" w:eastAsia="宋体" w:cs="Times New Roman"/>
                <w:i/>
                <w:iCs/>
                <w:sz w:val="18"/>
                <w:szCs w:val="18"/>
              </w:rPr>
            </w:pPr>
            <w:r>
              <w:rPr>
                <w:rFonts w:ascii="Times New Roman" w:hAnsi="Times New Roman" w:eastAsia="宋体" w:cs="Times New Roman"/>
                <w:i/>
                <w:iCs/>
                <w:sz w:val="18"/>
                <w:szCs w:val="18"/>
              </w:rPr>
              <w:t>N</w:t>
            </w:r>
          </w:p>
        </w:tc>
        <w:tc>
          <w:tcPr>
            <w:tcW w:w="1051" w:type="dxa"/>
            <w:gridSpan w:val="2"/>
            <w:tcMar>
              <w:left w:w="0" w:type="dxa"/>
              <w:right w:w="0" w:type="dxa"/>
            </w:tcMar>
            <w:vAlign w:val="center"/>
          </w:tcPr>
          <w:p w14:paraId="7D497AAD">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051" w:type="dxa"/>
            <w:gridSpan w:val="2"/>
            <w:tcMar>
              <w:left w:w="0" w:type="dxa"/>
              <w:right w:w="0" w:type="dxa"/>
            </w:tcMar>
            <w:vAlign w:val="center"/>
          </w:tcPr>
          <w:p w14:paraId="06F43829">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051" w:type="dxa"/>
            <w:gridSpan w:val="2"/>
            <w:tcMar>
              <w:left w:w="0" w:type="dxa"/>
              <w:right w:w="0" w:type="dxa"/>
            </w:tcMar>
            <w:vAlign w:val="center"/>
          </w:tcPr>
          <w:p w14:paraId="621B335E">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051" w:type="dxa"/>
            <w:gridSpan w:val="2"/>
            <w:tcMar>
              <w:left w:w="0" w:type="dxa"/>
              <w:right w:w="0" w:type="dxa"/>
            </w:tcMar>
            <w:vAlign w:val="center"/>
          </w:tcPr>
          <w:p w14:paraId="488E7903">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051" w:type="dxa"/>
            <w:gridSpan w:val="2"/>
            <w:tcMar>
              <w:left w:w="0" w:type="dxa"/>
              <w:right w:w="0" w:type="dxa"/>
            </w:tcMar>
            <w:vAlign w:val="center"/>
          </w:tcPr>
          <w:p w14:paraId="1CC53618">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051" w:type="dxa"/>
            <w:gridSpan w:val="2"/>
            <w:tcMar>
              <w:left w:w="0" w:type="dxa"/>
              <w:right w:w="0" w:type="dxa"/>
            </w:tcMar>
            <w:vAlign w:val="center"/>
          </w:tcPr>
          <w:p w14:paraId="54B8ED91">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c>
          <w:tcPr>
            <w:tcW w:w="1051" w:type="dxa"/>
            <w:gridSpan w:val="2"/>
            <w:tcMar>
              <w:left w:w="0" w:type="dxa"/>
              <w:right w:w="0" w:type="dxa"/>
            </w:tcMar>
            <w:vAlign w:val="center"/>
          </w:tcPr>
          <w:p w14:paraId="557EAC04">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360</w:t>
            </w:r>
          </w:p>
        </w:tc>
      </w:tr>
      <w:tr w14:paraId="49B97AC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gridBefore w:val="1"/>
          <w:wBefore w:w="7" w:type="dxa"/>
          <w:trHeight w:val="113" w:hRule="atLeast"/>
        </w:trPr>
        <w:tc>
          <w:tcPr>
            <w:tcW w:w="1162" w:type="dxa"/>
            <w:gridSpan w:val="2"/>
            <w:tcMar>
              <w:left w:w="0" w:type="dxa"/>
              <w:right w:w="0" w:type="dxa"/>
            </w:tcMar>
            <w:vAlign w:val="center"/>
          </w:tcPr>
          <w:p w14:paraId="6860F7B3">
            <w:pPr>
              <w:widowControl/>
              <w:snapToGrid w:val="0"/>
              <w:spacing w:line="240" w:lineRule="auto"/>
              <w:jc w:val="left"/>
              <w:rPr>
                <w:rFonts w:ascii="Times New Roman" w:hAnsi="Times New Roman" w:eastAsia="宋体" w:cs="Times New Roman"/>
                <w:i/>
                <w:iCs/>
                <w:sz w:val="18"/>
                <w:szCs w:val="18"/>
              </w:rPr>
            </w:pPr>
            <w:r>
              <w:rPr>
                <w:rFonts w:ascii="Times New Roman" w:hAnsi="Times New Roman" w:eastAsia="宋体" w:cs="Times New Roman"/>
                <w:i/>
                <w:iCs/>
                <w:sz w:val="18"/>
                <w:szCs w:val="18"/>
              </w:rPr>
              <w:t>R</w:t>
            </w:r>
            <w:r>
              <w:rPr>
                <w:rFonts w:ascii="Times New Roman" w:hAnsi="Times New Roman" w:eastAsia="宋体" w:cs="Times New Roman"/>
                <w:i/>
                <w:iCs/>
                <w:sz w:val="18"/>
                <w:szCs w:val="18"/>
                <w:vertAlign w:val="superscript"/>
              </w:rPr>
              <w:t>2</w:t>
            </w:r>
          </w:p>
        </w:tc>
        <w:tc>
          <w:tcPr>
            <w:tcW w:w="1051" w:type="dxa"/>
            <w:gridSpan w:val="2"/>
            <w:tcMar>
              <w:left w:w="0" w:type="dxa"/>
              <w:right w:w="0" w:type="dxa"/>
            </w:tcMar>
            <w:vAlign w:val="center"/>
          </w:tcPr>
          <w:p w14:paraId="6B0B7B32">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0.9199</w:t>
            </w:r>
          </w:p>
        </w:tc>
        <w:tc>
          <w:tcPr>
            <w:tcW w:w="1051" w:type="dxa"/>
            <w:gridSpan w:val="2"/>
            <w:tcMar>
              <w:left w:w="0" w:type="dxa"/>
              <w:right w:w="0" w:type="dxa"/>
            </w:tcMar>
            <w:vAlign w:val="center"/>
          </w:tcPr>
          <w:p w14:paraId="32821FF5">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0.9533</w:t>
            </w:r>
          </w:p>
        </w:tc>
        <w:tc>
          <w:tcPr>
            <w:tcW w:w="1051" w:type="dxa"/>
            <w:gridSpan w:val="2"/>
            <w:tcMar>
              <w:left w:w="0" w:type="dxa"/>
              <w:right w:w="0" w:type="dxa"/>
            </w:tcMar>
            <w:vAlign w:val="center"/>
          </w:tcPr>
          <w:p w14:paraId="4510B7F8">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0.9366</w:t>
            </w:r>
          </w:p>
        </w:tc>
        <w:tc>
          <w:tcPr>
            <w:tcW w:w="1051" w:type="dxa"/>
            <w:gridSpan w:val="2"/>
            <w:tcMar>
              <w:left w:w="0" w:type="dxa"/>
              <w:right w:w="0" w:type="dxa"/>
            </w:tcMar>
            <w:vAlign w:val="center"/>
          </w:tcPr>
          <w:p w14:paraId="2D6E8740">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0.9404</w:t>
            </w:r>
          </w:p>
        </w:tc>
        <w:tc>
          <w:tcPr>
            <w:tcW w:w="1051" w:type="dxa"/>
            <w:gridSpan w:val="2"/>
            <w:tcMar>
              <w:left w:w="0" w:type="dxa"/>
              <w:right w:w="0" w:type="dxa"/>
            </w:tcMar>
            <w:vAlign w:val="center"/>
          </w:tcPr>
          <w:p w14:paraId="04477A25">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0.9442</w:t>
            </w:r>
          </w:p>
        </w:tc>
        <w:tc>
          <w:tcPr>
            <w:tcW w:w="1051" w:type="dxa"/>
            <w:gridSpan w:val="2"/>
            <w:tcMar>
              <w:left w:w="0" w:type="dxa"/>
              <w:right w:w="0" w:type="dxa"/>
            </w:tcMar>
            <w:vAlign w:val="center"/>
          </w:tcPr>
          <w:p w14:paraId="45259364">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0.9435</w:t>
            </w:r>
          </w:p>
        </w:tc>
        <w:tc>
          <w:tcPr>
            <w:tcW w:w="1051" w:type="dxa"/>
            <w:gridSpan w:val="2"/>
            <w:tcMar>
              <w:left w:w="0" w:type="dxa"/>
              <w:right w:w="0" w:type="dxa"/>
            </w:tcMar>
            <w:vAlign w:val="center"/>
          </w:tcPr>
          <w:p w14:paraId="4D9434C6">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sz w:val="18"/>
                <w:szCs w:val="18"/>
              </w:rPr>
              <w:t>0.9422</w:t>
            </w:r>
          </w:p>
        </w:tc>
      </w:tr>
    </w:tbl>
    <w:p w14:paraId="6BA7FEE1">
      <w:pPr>
        <w:spacing w:line="20" w:lineRule="exact"/>
        <w:rPr>
          <w:rFonts w:hint="eastAsia" w:ascii="宋体" w:hAnsi="宋体" w:eastAsia="宋体"/>
          <w:sz w:val="24"/>
          <w:szCs w:val="24"/>
        </w:rPr>
      </w:pPr>
    </w:p>
    <w:p w14:paraId="26E9EEBB">
      <w:pPr>
        <w:widowControl/>
        <w:rPr>
          <w:rFonts w:ascii="Times New Roman" w:hAnsi="Times New Roman" w:eastAsia="宋体" w:cs="Times New Roman"/>
          <w:sz w:val="18"/>
          <w:szCs w:val="18"/>
        </w:rPr>
      </w:pPr>
      <w:r>
        <w:rPr>
          <w:rFonts w:ascii="Times New Roman" w:hAnsi="Times New Roman" w:eastAsia="宋体" w:cs="Times New Roman"/>
          <w:sz w:val="18"/>
          <w:szCs w:val="18"/>
        </w:rPr>
        <w:t>Note: ***, ** and * denote significance levels of 1 %, 5 % and 10 %.</w:t>
      </w:r>
    </w:p>
    <w:p w14:paraId="77785279">
      <w:pPr>
        <w:widowControl/>
        <w:ind w:firstLine="480"/>
        <w:rPr>
          <w:rFonts w:ascii="Times New Roman" w:hAnsi="Times New Roman" w:eastAsia="宋体"/>
          <w:sz w:val="24"/>
          <w:szCs w:val="24"/>
        </w:rPr>
      </w:pPr>
    </w:p>
    <w:p w14:paraId="5694AFEE">
      <w:pPr>
        <w:widowControl/>
        <w:ind w:firstLine="480"/>
        <w:rPr>
          <w:rFonts w:ascii="Times New Roman" w:hAnsi="Times New Roman" w:eastAsia="宋体"/>
          <w:sz w:val="24"/>
          <w:szCs w:val="24"/>
        </w:rPr>
      </w:pPr>
    </w:p>
    <w:p w14:paraId="5E00E44A">
      <w:pPr>
        <w:spacing w:after="120" w:afterLines="50" w:line="480" w:lineRule="auto"/>
        <w:rPr>
          <w:rFonts w:hint="eastAsia" w:ascii="Times New Roman" w:hAnsi="Times New Roman" w:cs="Times New Roman"/>
          <w:b/>
          <w:bCs/>
          <w:szCs w:val="24"/>
        </w:rPr>
      </w:pPr>
      <w:r>
        <w:rPr>
          <w:rFonts w:hint="eastAsia" w:ascii="Times New Roman" w:hAnsi="Times New Roman" w:cs="Times New Roman"/>
          <w:b/>
          <w:bCs/>
          <w:szCs w:val="24"/>
        </w:rPr>
        <w:t>4.2. Robustness Checks</w:t>
      </w:r>
    </w:p>
    <w:p w14:paraId="6342E04B">
      <w:pPr>
        <w:spacing w:after="120" w:afterLines="50" w:line="480" w:lineRule="auto"/>
        <w:ind w:firstLine="482"/>
        <w:rPr>
          <w:rFonts w:ascii="Times New Roman" w:hAnsi="Times New Roman" w:cs="Times New Roman"/>
          <w:szCs w:val="24"/>
        </w:rPr>
      </w:pPr>
      <w:r>
        <w:rPr>
          <w:rFonts w:ascii="Times New Roman" w:hAnsi="Times New Roman" w:cs="Times New Roman"/>
          <w:szCs w:val="24"/>
        </w:rPr>
        <w:t>To assess the robustness of the baseline regression results,</w:t>
      </w:r>
      <w:r>
        <w:rPr>
          <w:rFonts w:hint="eastAsia" w:ascii="Times New Roman" w:hAnsi="Times New Roman" w:cs="Times New Roman"/>
          <w:szCs w:val="24"/>
        </w:rPr>
        <w:t xml:space="preserve"> a series of </w:t>
      </w:r>
      <w:r>
        <w:rPr>
          <w:rFonts w:ascii="Times New Roman" w:hAnsi="Times New Roman" w:cs="Times New Roman"/>
          <w:szCs w:val="24"/>
        </w:rPr>
        <w:t>verification approaches were</w:t>
      </w:r>
      <w:r>
        <w:rPr>
          <w:rFonts w:hint="eastAsia" w:ascii="Times New Roman" w:hAnsi="Times New Roman" w:cs="Times New Roman"/>
          <w:szCs w:val="24"/>
        </w:rPr>
        <w:t xml:space="preserve"> implemented</w:t>
      </w:r>
      <w:r>
        <w:rPr>
          <w:rFonts w:ascii="Times New Roman" w:hAnsi="Times New Roman" w:cs="Times New Roman"/>
          <w:szCs w:val="24"/>
        </w:rPr>
        <w:t xml:space="preserve">. First, the AER index was recalculated using principal component analysis to examine the sensitivity of the results to </w:t>
      </w:r>
      <w:r>
        <w:rPr>
          <w:rFonts w:hint="eastAsia" w:ascii="Times New Roman" w:hAnsi="Times New Roman" w:cs="Times New Roman"/>
          <w:szCs w:val="24"/>
        </w:rPr>
        <w:t xml:space="preserve">an </w:t>
      </w:r>
      <w:r>
        <w:rPr>
          <w:rFonts w:ascii="Times New Roman" w:hAnsi="Times New Roman" w:cs="Times New Roman"/>
          <w:szCs w:val="24"/>
        </w:rPr>
        <w:t xml:space="preserve">alternative measurement </w:t>
      </w:r>
      <w:r>
        <w:rPr>
          <w:rFonts w:hint="eastAsia" w:ascii="Times New Roman" w:hAnsi="Times New Roman" w:cs="Times New Roman"/>
          <w:szCs w:val="24"/>
        </w:rPr>
        <w:t>approach</w:t>
      </w:r>
      <w:r>
        <w:rPr>
          <w:rFonts w:ascii="Times New Roman" w:hAnsi="Times New Roman" w:cs="Times New Roman"/>
          <w:szCs w:val="24"/>
        </w:rPr>
        <w:t xml:space="preserve">. Second, considering that municipalities directly under the central government possess distinctive advantages in policy resource allocation and economic development, regressions were re-estimated after excluding these municipalities to mitigate potential biases. Third, </w:t>
      </w:r>
      <w:r>
        <w:rPr>
          <w:rFonts w:hint="eastAsia" w:ascii="Times New Roman" w:hAnsi="Times New Roman" w:cs="Times New Roman"/>
          <w:szCs w:val="24"/>
        </w:rPr>
        <w:t xml:space="preserve">all </w:t>
      </w:r>
      <w:r>
        <w:rPr>
          <w:rFonts w:ascii="Times New Roman" w:hAnsi="Times New Roman" w:cs="Times New Roman"/>
          <w:szCs w:val="24"/>
        </w:rPr>
        <w:t>continuous variables</w:t>
      </w:r>
      <w:r>
        <w:rPr>
          <w:rFonts w:hint="eastAsia" w:ascii="Times New Roman" w:hAnsi="Times New Roman" w:cs="Times New Roman"/>
          <w:szCs w:val="24"/>
        </w:rPr>
        <w:t xml:space="preserve"> </w:t>
      </w:r>
      <w:r>
        <w:rPr>
          <w:rFonts w:ascii="Times New Roman" w:hAnsi="Times New Roman" w:cs="Times New Roman"/>
          <w:szCs w:val="24"/>
        </w:rPr>
        <w:t>were winsorized at the 1% level to minimize the influence of outliers, and regressions were re-conducted to test the stability of the results. Fourth,</w:t>
      </w:r>
      <w:r>
        <w:rPr>
          <w:rFonts w:hint="eastAsia" w:ascii="Times New Roman" w:hAnsi="Times New Roman" w:cs="Times New Roman"/>
          <w:szCs w:val="24"/>
        </w:rPr>
        <w:t xml:space="preserve"> </w:t>
      </w:r>
      <w:r>
        <w:rPr>
          <w:rFonts w:ascii="Times New Roman" w:hAnsi="Times New Roman" w:cs="Times New Roman"/>
          <w:szCs w:val="24"/>
        </w:rPr>
        <w:t xml:space="preserve">a one-period lag </w:t>
      </w:r>
      <w:r>
        <w:rPr>
          <w:rFonts w:hint="eastAsia" w:ascii="Times New Roman" w:hAnsi="Times New Roman" w:cs="Times New Roman"/>
          <w:szCs w:val="24"/>
        </w:rPr>
        <w:t xml:space="preserve">of </w:t>
      </w:r>
      <w:r>
        <w:rPr>
          <w:rFonts w:ascii="Times New Roman" w:hAnsi="Times New Roman" w:cs="Times New Roman"/>
          <w:szCs w:val="24"/>
        </w:rPr>
        <w:t>NTU was in</w:t>
      </w:r>
      <w:r>
        <w:rPr>
          <w:rFonts w:hint="eastAsia" w:ascii="Times New Roman" w:hAnsi="Times New Roman" w:cs="Times New Roman"/>
          <w:szCs w:val="24"/>
        </w:rPr>
        <w:t>corporated in</w:t>
      </w:r>
      <w:r>
        <w:rPr>
          <w:rFonts w:ascii="Times New Roman" w:hAnsi="Times New Roman" w:cs="Times New Roman"/>
          <w:szCs w:val="24"/>
        </w:rPr>
        <w:t xml:space="preserve">to </w:t>
      </w:r>
      <w:r>
        <w:rPr>
          <w:rFonts w:hint="eastAsia" w:ascii="Times New Roman" w:hAnsi="Times New Roman" w:cs="Times New Roman"/>
          <w:szCs w:val="24"/>
        </w:rPr>
        <w:t>the model to account for</w:t>
      </w:r>
      <w:r>
        <w:rPr>
          <w:rFonts w:ascii="Times New Roman" w:hAnsi="Times New Roman" w:cs="Times New Roman"/>
          <w:szCs w:val="24"/>
        </w:rPr>
        <w:t xml:space="preserve"> potential delayed effects.</w:t>
      </w:r>
    </w:p>
    <w:p w14:paraId="72CA7C12">
      <w:pPr>
        <w:spacing w:after="120" w:afterLines="50" w:line="480" w:lineRule="auto"/>
        <w:ind w:firstLine="482"/>
        <w:rPr>
          <w:rFonts w:hint="eastAsia" w:ascii="Times New Roman" w:hAnsi="Times New Roman" w:cs="Times New Roman" w:eastAsiaTheme="minorEastAsia"/>
          <w:szCs w:val="24"/>
          <w:lang w:val="en-US" w:eastAsia="zh-CN"/>
        </w:rPr>
      </w:pPr>
      <w:r>
        <w:rPr>
          <w:rFonts w:ascii="Times New Roman" w:hAnsi="Times New Roman" w:cs="Times New Roman"/>
          <w:szCs w:val="24"/>
        </w:rPr>
        <w:t xml:space="preserve">As summarized in </w:t>
      </w:r>
      <w:r>
        <w:rPr>
          <w:rFonts w:ascii="Times New Roman" w:hAnsi="Times New Roman" w:cs="Times New Roman"/>
          <w:color w:val="0070C0"/>
          <w:szCs w:val="24"/>
        </w:rPr>
        <w:fldChar w:fldCharType="begin"/>
      </w:r>
      <w:r>
        <w:rPr>
          <w:rFonts w:ascii="Times New Roman" w:hAnsi="Times New Roman" w:cs="Times New Roman"/>
          <w:color w:val="0070C0"/>
          <w:szCs w:val="24"/>
        </w:rPr>
        <w:instrText xml:space="preserve"> REF _Ref216098861 \h  \* MERGEFORMAT </w:instrText>
      </w:r>
      <w:r>
        <w:rPr>
          <w:rFonts w:ascii="Times New Roman" w:hAnsi="Times New Roman" w:cs="Times New Roman"/>
          <w:color w:val="0070C0"/>
          <w:szCs w:val="24"/>
        </w:rPr>
        <w:fldChar w:fldCharType="separate"/>
      </w:r>
      <w:r>
        <w:rPr>
          <w:rFonts w:hint="eastAsia" w:ascii="Times New Roman" w:hAnsi="Times New Roman" w:cs="Times New Roman"/>
          <w:color w:val="0070C0"/>
          <w:szCs w:val="24"/>
        </w:rPr>
        <w:t xml:space="preserve">Table </w:t>
      </w:r>
      <w:r>
        <w:rPr>
          <w:rFonts w:ascii="Times New Roman" w:hAnsi="Times New Roman" w:cs="Times New Roman"/>
          <w:color w:val="0070C0"/>
          <w:szCs w:val="24"/>
        </w:rPr>
        <w:t>5</w:t>
      </w:r>
      <w:r>
        <w:rPr>
          <w:rFonts w:ascii="Times New Roman" w:hAnsi="Times New Roman" w:cs="Times New Roman"/>
          <w:color w:val="0070C0"/>
          <w:szCs w:val="24"/>
        </w:rPr>
        <w:fldChar w:fldCharType="end"/>
      </w:r>
      <w:r>
        <w:rPr>
          <w:rFonts w:ascii="Times New Roman" w:hAnsi="Times New Roman" w:cs="Times New Roman"/>
          <w:szCs w:val="24"/>
        </w:rPr>
        <w:t>, the regression results across all four robustness tests indicate that the coefficient of NTU remains positive</w:t>
      </w:r>
      <w:r>
        <w:rPr>
          <w:rFonts w:hint="eastAsia" w:ascii="Times New Roman" w:hAnsi="Times New Roman" w:cs="Times New Roman"/>
          <w:szCs w:val="24"/>
        </w:rPr>
        <w:t xml:space="preserve"> and statistically significant </w:t>
      </w:r>
      <w:r>
        <w:rPr>
          <w:rFonts w:ascii="Times New Roman" w:hAnsi="Times New Roman" w:cs="Times New Roman"/>
          <w:szCs w:val="24"/>
        </w:rPr>
        <w:t xml:space="preserve">at the 1% level across all models. These </w:t>
      </w:r>
      <w:r>
        <w:rPr>
          <w:rFonts w:hint="eastAsia" w:ascii="Times New Roman" w:hAnsi="Times New Roman" w:cs="Times New Roman"/>
          <w:szCs w:val="24"/>
        </w:rPr>
        <w:t xml:space="preserve">consistent </w:t>
      </w:r>
      <w:r>
        <w:rPr>
          <w:rFonts w:ascii="Times New Roman" w:hAnsi="Times New Roman" w:cs="Times New Roman"/>
          <w:szCs w:val="24"/>
        </w:rPr>
        <w:t xml:space="preserve">findings demonstrate that the positive effect of NTU on AER is robust to alternative measures, sample composition, outlier treatment, </w:t>
      </w:r>
      <w:r>
        <w:rPr>
          <w:rFonts w:hint="eastAsia" w:ascii="Times New Roman" w:hAnsi="Times New Roman" w:cs="Times New Roman"/>
          <w:szCs w:val="24"/>
          <w:lang w:val="en-US" w:eastAsia="zh-CN"/>
        </w:rPr>
        <w:t>and</w:t>
      </w:r>
      <w:r>
        <w:rPr>
          <w:rFonts w:ascii="Times New Roman" w:hAnsi="Times New Roman" w:cs="Times New Roman"/>
          <w:szCs w:val="24"/>
        </w:rPr>
        <w:t xml:space="preserve"> temporal dynamics, thereby reinforcing the reliability of the baseline conclusions.</w:t>
      </w:r>
    </w:p>
    <w:p w14:paraId="09C50D49">
      <w:pPr>
        <w:pStyle w:val="56"/>
        <w:spacing w:before="240"/>
        <w:rPr>
          <w:rFonts w:eastAsia="宋体"/>
          <w:sz w:val="24"/>
          <w:szCs w:val="24"/>
        </w:rPr>
      </w:pPr>
      <w:bookmarkStart w:id="23" w:name="_Ref216098861"/>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t>5</w:t>
      </w:r>
      <w:r>
        <w:rPr>
          <w:rFonts w:hint="eastAsia"/>
        </w:rPr>
        <w:fldChar w:fldCharType="end"/>
      </w:r>
      <w:bookmarkEnd w:id="23"/>
    </w:p>
    <w:p w14:paraId="7A052633">
      <w:pPr>
        <w:spacing w:line="480" w:lineRule="auto"/>
        <w:jc w:val="left"/>
        <w:rPr>
          <w:rFonts w:ascii="Times New Roman" w:hAnsi="Times New Roman" w:eastAsia="宋体"/>
          <w:sz w:val="18"/>
          <w:szCs w:val="18"/>
        </w:rPr>
      </w:pPr>
      <w:r>
        <w:rPr>
          <w:rFonts w:hint="eastAsia" w:ascii="Times New Roman" w:hAnsi="Times New Roman" w:eastAsia="宋体"/>
          <w:sz w:val="18"/>
          <w:szCs w:val="18"/>
        </w:rPr>
        <w:t>The regression results of four robustness tests.</w:t>
      </w:r>
    </w:p>
    <w:tbl>
      <w:tblPr>
        <w:tblStyle w:val="50"/>
        <w:tblW w:w="0" w:type="auto"/>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95"/>
        <w:gridCol w:w="1677"/>
        <w:gridCol w:w="1678"/>
        <w:gridCol w:w="1678"/>
        <w:gridCol w:w="1678"/>
      </w:tblGrid>
      <w:tr w14:paraId="052C3A9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Borders>
              <w:top w:val="single" w:color="auto" w:sz="12" w:space="0"/>
              <w:left w:val="nil"/>
              <w:bottom w:val="single" w:color="auto" w:sz="6" w:space="0"/>
              <w:right w:val="nil"/>
              <w:insideH w:val="single" w:sz="6" w:space="0"/>
              <w:insideV w:val="nil"/>
              <w:tl2br w:val="nil"/>
              <w:tr2bl w:val="nil"/>
            </w:tcBorders>
          </w:tcPr>
          <w:p w14:paraId="7E59E5D4">
            <w:pPr>
              <w:widowControl/>
              <w:snapToGrid w:val="0"/>
              <w:spacing w:line="240" w:lineRule="auto"/>
              <w:jc w:val="left"/>
              <w:rPr>
                <w:rFonts w:ascii="Times New Roman" w:hAnsi="Times New Roman" w:eastAsia="宋体" w:cs="Times New Roman"/>
                <w:i/>
                <w:iCs/>
                <w:kern w:val="0"/>
                <w:sz w:val="18"/>
                <w:szCs w:val="18"/>
              </w:rPr>
            </w:pPr>
          </w:p>
        </w:tc>
        <w:tc>
          <w:tcPr>
            <w:tcW w:w="1677" w:type="dxa"/>
            <w:tcBorders>
              <w:top w:val="single" w:color="auto" w:sz="12" w:space="0"/>
              <w:bottom w:val="single" w:color="auto" w:sz="6" w:space="0"/>
              <w:right w:val="nil"/>
              <w:insideH w:val="single" w:sz="6" w:space="0"/>
              <w:insideV w:val="nil"/>
              <w:tl2br w:val="nil"/>
              <w:tr2bl w:val="nil"/>
            </w:tcBorders>
          </w:tcPr>
          <w:p w14:paraId="59D2F086">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(1)</w:t>
            </w:r>
          </w:p>
        </w:tc>
        <w:tc>
          <w:tcPr>
            <w:tcW w:w="1678" w:type="dxa"/>
            <w:tcBorders>
              <w:top w:val="single" w:color="auto" w:sz="12" w:space="0"/>
              <w:bottom w:val="single" w:color="auto" w:sz="6" w:space="0"/>
              <w:right w:val="nil"/>
              <w:insideH w:val="single" w:sz="6" w:space="0"/>
              <w:insideV w:val="nil"/>
              <w:tl2br w:val="nil"/>
              <w:tr2bl w:val="nil"/>
            </w:tcBorders>
          </w:tcPr>
          <w:p w14:paraId="0C621DEC">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(2)</w:t>
            </w:r>
          </w:p>
        </w:tc>
        <w:tc>
          <w:tcPr>
            <w:tcW w:w="1678" w:type="dxa"/>
            <w:tcBorders>
              <w:top w:val="single" w:color="auto" w:sz="12" w:space="0"/>
              <w:bottom w:val="single" w:color="auto" w:sz="6" w:space="0"/>
              <w:right w:val="nil"/>
              <w:insideH w:val="single" w:sz="6" w:space="0"/>
              <w:insideV w:val="nil"/>
              <w:tl2br w:val="nil"/>
              <w:tr2bl w:val="nil"/>
            </w:tcBorders>
          </w:tcPr>
          <w:p w14:paraId="2B22A706">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(3)</w:t>
            </w:r>
          </w:p>
        </w:tc>
        <w:tc>
          <w:tcPr>
            <w:tcW w:w="1678" w:type="dxa"/>
            <w:tcBorders>
              <w:top w:val="single" w:color="auto" w:sz="12" w:space="0"/>
              <w:bottom w:val="single" w:color="auto" w:sz="6" w:space="0"/>
              <w:right w:val="nil"/>
              <w:insideH w:val="single" w:sz="6" w:space="0"/>
              <w:insideV w:val="nil"/>
              <w:tl2br w:val="nil"/>
              <w:tr2bl w:val="nil"/>
            </w:tcBorders>
          </w:tcPr>
          <w:p w14:paraId="6B6E652C">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(4)</w:t>
            </w:r>
          </w:p>
        </w:tc>
      </w:tr>
      <w:tr w14:paraId="2DBECFD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Pr>
          <w:p w14:paraId="0CD00155">
            <w:pPr>
              <w:widowControl/>
              <w:snapToGrid w:val="0"/>
              <w:spacing w:line="240" w:lineRule="auto"/>
              <w:jc w:val="left"/>
              <w:rPr>
                <w:rFonts w:ascii="Times New Roman" w:hAnsi="Times New Roman" w:eastAsia="宋体" w:cs="Times New Roman"/>
                <w:i/>
                <w:iCs/>
                <w:kern w:val="0"/>
                <w:sz w:val="18"/>
                <w:szCs w:val="18"/>
                <w:lang w:eastAsia="en-US"/>
              </w:rPr>
            </w:pPr>
          </w:p>
        </w:tc>
        <w:tc>
          <w:tcPr>
            <w:tcW w:w="1677" w:type="dxa"/>
          </w:tcPr>
          <w:p w14:paraId="22CFCAE2">
            <w:pPr>
              <w:widowControl/>
              <w:snapToGrid w:val="0"/>
              <w:spacing w:line="240" w:lineRule="auto"/>
              <w:jc w:val="left"/>
              <w:rPr>
                <w:rFonts w:ascii="Times New Roman" w:hAnsi="Times New Roman" w:eastAsia="宋体" w:cs="Times New Roman"/>
                <w:i/>
                <w:iCs/>
                <w:kern w:val="0"/>
                <w:sz w:val="18"/>
                <w:szCs w:val="18"/>
              </w:rPr>
            </w:pPr>
            <w:r>
              <w:rPr>
                <w:rFonts w:hint="eastAsia" w:ascii="Times New Roman" w:hAnsi="Times New Roman" w:eastAsia="宋体" w:cs="Times New Roman"/>
                <w:i/>
                <w:iCs/>
                <w:kern w:val="0"/>
                <w:sz w:val="18"/>
                <w:szCs w:val="18"/>
              </w:rPr>
              <w:t>AER</w:t>
            </w:r>
          </w:p>
        </w:tc>
        <w:tc>
          <w:tcPr>
            <w:tcW w:w="1678" w:type="dxa"/>
          </w:tcPr>
          <w:p w14:paraId="18A71200">
            <w:pPr>
              <w:widowControl/>
              <w:snapToGrid w:val="0"/>
              <w:spacing w:line="240" w:lineRule="auto"/>
              <w:jc w:val="left"/>
              <w:rPr>
                <w:rFonts w:ascii="Times New Roman" w:hAnsi="Times New Roman" w:eastAsia="宋体" w:cs="Times New Roman"/>
                <w:i/>
                <w:iCs/>
                <w:kern w:val="0"/>
                <w:sz w:val="18"/>
                <w:szCs w:val="18"/>
                <w:lang w:eastAsia="en-US"/>
              </w:rPr>
            </w:pPr>
            <w:r>
              <w:rPr>
                <w:rFonts w:hint="eastAsia" w:ascii="Times New Roman" w:hAnsi="Times New Roman" w:eastAsia="宋体" w:cs="Times New Roman"/>
                <w:i/>
                <w:iCs/>
                <w:kern w:val="0"/>
                <w:sz w:val="18"/>
                <w:szCs w:val="18"/>
              </w:rPr>
              <w:t>AER</w:t>
            </w:r>
          </w:p>
        </w:tc>
        <w:tc>
          <w:tcPr>
            <w:tcW w:w="1678" w:type="dxa"/>
          </w:tcPr>
          <w:p w14:paraId="5C6A51EE">
            <w:pPr>
              <w:widowControl/>
              <w:snapToGrid w:val="0"/>
              <w:spacing w:line="240" w:lineRule="auto"/>
              <w:jc w:val="left"/>
              <w:rPr>
                <w:rFonts w:ascii="Times New Roman" w:hAnsi="Times New Roman" w:eastAsia="宋体" w:cs="Times New Roman"/>
                <w:i/>
                <w:iCs/>
                <w:kern w:val="0"/>
                <w:sz w:val="18"/>
                <w:szCs w:val="18"/>
                <w:lang w:eastAsia="en-US"/>
              </w:rPr>
            </w:pPr>
            <w:r>
              <w:rPr>
                <w:rFonts w:hint="eastAsia" w:ascii="Times New Roman" w:hAnsi="Times New Roman" w:eastAsia="宋体" w:cs="Times New Roman"/>
                <w:i/>
                <w:iCs/>
                <w:kern w:val="0"/>
                <w:sz w:val="18"/>
                <w:szCs w:val="18"/>
              </w:rPr>
              <w:t>AER</w:t>
            </w:r>
          </w:p>
        </w:tc>
        <w:tc>
          <w:tcPr>
            <w:tcW w:w="1678" w:type="dxa"/>
          </w:tcPr>
          <w:p w14:paraId="75D5FFAF">
            <w:pPr>
              <w:widowControl/>
              <w:snapToGrid w:val="0"/>
              <w:spacing w:line="240" w:lineRule="auto"/>
              <w:jc w:val="left"/>
              <w:rPr>
                <w:rFonts w:ascii="Times New Roman" w:hAnsi="Times New Roman" w:eastAsia="宋体" w:cs="Times New Roman"/>
                <w:i/>
                <w:iCs/>
                <w:kern w:val="0"/>
                <w:sz w:val="18"/>
                <w:szCs w:val="18"/>
                <w:lang w:eastAsia="en-US"/>
              </w:rPr>
            </w:pPr>
            <w:r>
              <w:rPr>
                <w:rFonts w:hint="eastAsia" w:ascii="Times New Roman" w:hAnsi="Times New Roman" w:eastAsia="宋体" w:cs="Times New Roman"/>
                <w:i/>
                <w:iCs/>
                <w:kern w:val="0"/>
                <w:sz w:val="18"/>
                <w:szCs w:val="18"/>
              </w:rPr>
              <w:t>AER</w:t>
            </w:r>
          </w:p>
        </w:tc>
      </w:tr>
      <w:tr w14:paraId="6201F2D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Pr>
          <w:p w14:paraId="0C37467E">
            <w:pPr>
              <w:widowControl/>
              <w:snapToGrid w:val="0"/>
              <w:spacing w:line="240" w:lineRule="auto"/>
              <w:jc w:val="left"/>
              <w:rPr>
                <w:rFonts w:ascii="Times New Roman" w:hAnsi="Times New Roman" w:eastAsia="宋体" w:cs="Times New Roman"/>
                <w:i/>
                <w:iCs/>
                <w:kern w:val="0"/>
                <w:sz w:val="18"/>
                <w:szCs w:val="18"/>
              </w:rPr>
            </w:pPr>
            <w:r>
              <w:rPr>
                <w:rFonts w:hint="eastAsia" w:ascii="Times New Roman" w:hAnsi="Times New Roman" w:eastAsia="宋体" w:cs="Times New Roman"/>
                <w:i/>
                <w:iCs/>
                <w:kern w:val="0"/>
                <w:sz w:val="18"/>
                <w:szCs w:val="18"/>
              </w:rPr>
              <w:t>NTU</w:t>
            </w:r>
          </w:p>
        </w:tc>
        <w:tc>
          <w:tcPr>
            <w:tcW w:w="1677" w:type="dxa"/>
          </w:tcPr>
          <w:p w14:paraId="3F9800C7">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5.8556***</w:t>
            </w:r>
          </w:p>
        </w:tc>
        <w:tc>
          <w:tcPr>
            <w:tcW w:w="1678" w:type="dxa"/>
          </w:tcPr>
          <w:p w14:paraId="4562A431">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0.5338***</w:t>
            </w:r>
          </w:p>
        </w:tc>
        <w:tc>
          <w:tcPr>
            <w:tcW w:w="1678" w:type="dxa"/>
          </w:tcPr>
          <w:p w14:paraId="7441B3BB">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0.4901***</w:t>
            </w:r>
          </w:p>
        </w:tc>
        <w:tc>
          <w:tcPr>
            <w:tcW w:w="1678" w:type="dxa"/>
          </w:tcPr>
          <w:p w14:paraId="1798F529">
            <w:pPr>
              <w:widowControl/>
              <w:snapToGrid w:val="0"/>
              <w:spacing w:line="240" w:lineRule="auto"/>
              <w:jc w:val="left"/>
              <w:rPr>
                <w:rFonts w:ascii="Times New Roman" w:hAnsi="Times New Roman" w:eastAsia="宋体" w:cs="Times New Roman"/>
                <w:kern w:val="0"/>
                <w:sz w:val="18"/>
                <w:szCs w:val="18"/>
                <w:lang w:eastAsia="en-US"/>
              </w:rPr>
            </w:pPr>
          </w:p>
        </w:tc>
      </w:tr>
      <w:tr w14:paraId="5BD4F75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Pr>
          <w:p w14:paraId="7FCE3736">
            <w:pPr>
              <w:widowControl/>
              <w:snapToGrid w:val="0"/>
              <w:spacing w:line="240" w:lineRule="auto"/>
              <w:jc w:val="left"/>
              <w:rPr>
                <w:rFonts w:ascii="Times New Roman" w:hAnsi="Times New Roman" w:eastAsia="宋体" w:cs="Times New Roman"/>
                <w:i/>
                <w:iCs/>
                <w:kern w:val="0"/>
                <w:sz w:val="18"/>
                <w:szCs w:val="18"/>
                <w:lang w:eastAsia="en-US"/>
              </w:rPr>
            </w:pPr>
          </w:p>
        </w:tc>
        <w:tc>
          <w:tcPr>
            <w:tcW w:w="1677" w:type="dxa"/>
          </w:tcPr>
          <w:p w14:paraId="2528FE4B">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(0.424)</w:t>
            </w:r>
          </w:p>
        </w:tc>
        <w:tc>
          <w:tcPr>
            <w:tcW w:w="1678" w:type="dxa"/>
          </w:tcPr>
          <w:p w14:paraId="30B03779">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(0.043)</w:t>
            </w:r>
          </w:p>
        </w:tc>
        <w:tc>
          <w:tcPr>
            <w:tcW w:w="1678" w:type="dxa"/>
          </w:tcPr>
          <w:p w14:paraId="734CE795">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(0.045)</w:t>
            </w:r>
          </w:p>
        </w:tc>
        <w:tc>
          <w:tcPr>
            <w:tcW w:w="1678" w:type="dxa"/>
          </w:tcPr>
          <w:p w14:paraId="685D3C08">
            <w:pPr>
              <w:widowControl/>
              <w:snapToGrid w:val="0"/>
              <w:spacing w:line="240" w:lineRule="auto"/>
              <w:jc w:val="left"/>
              <w:rPr>
                <w:rFonts w:ascii="Times New Roman" w:hAnsi="Times New Roman" w:eastAsia="宋体" w:cs="Times New Roman"/>
                <w:kern w:val="0"/>
                <w:sz w:val="18"/>
                <w:szCs w:val="18"/>
                <w:lang w:eastAsia="en-US"/>
              </w:rPr>
            </w:pPr>
          </w:p>
        </w:tc>
      </w:tr>
      <w:tr w14:paraId="0C04A1E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Pr>
          <w:p w14:paraId="1420B44C">
            <w:pPr>
              <w:widowControl/>
              <w:snapToGrid w:val="0"/>
              <w:spacing w:line="240" w:lineRule="auto"/>
              <w:jc w:val="left"/>
              <w:rPr>
                <w:rFonts w:ascii="Times New Roman" w:hAnsi="Times New Roman" w:eastAsia="宋体" w:cs="Times New Roman"/>
                <w:i/>
                <w:iCs/>
                <w:kern w:val="0"/>
                <w:sz w:val="18"/>
                <w:szCs w:val="18"/>
              </w:rPr>
            </w:pPr>
            <w:r>
              <w:rPr>
                <w:rFonts w:ascii="Times New Roman" w:hAnsi="Times New Roman" w:eastAsia="宋体" w:cs="Times New Roman"/>
                <w:i/>
                <w:iCs/>
                <w:kern w:val="0"/>
                <w:sz w:val="18"/>
                <w:szCs w:val="18"/>
                <w:lang w:eastAsia="en-US"/>
              </w:rPr>
              <w:t>L1</w:t>
            </w:r>
            <w:r>
              <w:rPr>
                <w:rFonts w:hint="eastAsia" w:ascii="Times New Roman" w:hAnsi="Times New Roman" w:eastAsia="宋体" w:cs="Times New Roman"/>
                <w:i/>
                <w:iCs/>
                <w:kern w:val="0"/>
                <w:sz w:val="18"/>
                <w:szCs w:val="18"/>
              </w:rPr>
              <w:t>.NTU</w:t>
            </w:r>
          </w:p>
        </w:tc>
        <w:tc>
          <w:tcPr>
            <w:tcW w:w="1677" w:type="dxa"/>
          </w:tcPr>
          <w:p w14:paraId="45B1813B">
            <w:pPr>
              <w:widowControl/>
              <w:snapToGrid w:val="0"/>
              <w:spacing w:line="240" w:lineRule="auto"/>
              <w:jc w:val="left"/>
              <w:rPr>
                <w:rFonts w:ascii="Times New Roman" w:hAnsi="Times New Roman" w:eastAsia="宋体" w:cs="Times New Roman"/>
                <w:kern w:val="0"/>
                <w:sz w:val="18"/>
                <w:szCs w:val="18"/>
                <w:lang w:eastAsia="en-US"/>
              </w:rPr>
            </w:pPr>
          </w:p>
        </w:tc>
        <w:tc>
          <w:tcPr>
            <w:tcW w:w="1678" w:type="dxa"/>
          </w:tcPr>
          <w:p w14:paraId="45B7820F">
            <w:pPr>
              <w:widowControl/>
              <w:snapToGrid w:val="0"/>
              <w:spacing w:line="240" w:lineRule="auto"/>
              <w:jc w:val="left"/>
              <w:rPr>
                <w:rFonts w:ascii="Times New Roman" w:hAnsi="Times New Roman" w:eastAsia="宋体" w:cs="Times New Roman"/>
                <w:kern w:val="0"/>
                <w:sz w:val="18"/>
                <w:szCs w:val="18"/>
                <w:lang w:eastAsia="en-US"/>
              </w:rPr>
            </w:pPr>
          </w:p>
        </w:tc>
        <w:tc>
          <w:tcPr>
            <w:tcW w:w="1678" w:type="dxa"/>
          </w:tcPr>
          <w:p w14:paraId="2C055A2F">
            <w:pPr>
              <w:widowControl/>
              <w:snapToGrid w:val="0"/>
              <w:spacing w:line="240" w:lineRule="auto"/>
              <w:jc w:val="left"/>
              <w:rPr>
                <w:rFonts w:ascii="Times New Roman" w:hAnsi="Times New Roman" w:eastAsia="宋体" w:cs="Times New Roman"/>
                <w:kern w:val="0"/>
                <w:sz w:val="18"/>
                <w:szCs w:val="18"/>
                <w:lang w:eastAsia="en-US"/>
              </w:rPr>
            </w:pPr>
          </w:p>
        </w:tc>
        <w:tc>
          <w:tcPr>
            <w:tcW w:w="1678" w:type="dxa"/>
          </w:tcPr>
          <w:p w14:paraId="646183A8">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0.5055***</w:t>
            </w:r>
          </w:p>
        </w:tc>
      </w:tr>
      <w:tr w14:paraId="47CA0B3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Pr>
          <w:p w14:paraId="28C47EB4">
            <w:pPr>
              <w:widowControl/>
              <w:snapToGrid w:val="0"/>
              <w:spacing w:line="240" w:lineRule="auto"/>
              <w:jc w:val="left"/>
              <w:rPr>
                <w:rFonts w:ascii="Times New Roman" w:hAnsi="Times New Roman" w:eastAsia="宋体" w:cs="Times New Roman"/>
                <w:i/>
                <w:iCs/>
                <w:kern w:val="0"/>
                <w:sz w:val="18"/>
                <w:szCs w:val="18"/>
                <w:lang w:eastAsia="en-US"/>
              </w:rPr>
            </w:pPr>
          </w:p>
        </w:tc>
        <w:tc>
          <w:tcPr>
            <w:tcW w:w="1677" w:type="dxa"/>
          </w:tcPr>
          <w:p w14:paraId="153D7A10">
            <w:pPr>
              <w:widowControl/>
              <w:snapToGrid w:val="0"/>
              <w:spacing w:line="240" w:lineRule="auto"/>
              <w:jc w:val="left"/>
              <w:rPr>
                <w:rFonts w:ascii="Times New Roman" w:hAnsi="Times New Roman" w:eastAsia="宋体" w:cs="Times New Roman"/>
                <w:kern w:val="0"/>
                <w:sz w:val="18"/>
                <w:szCs w:val="18"/>
                <w:lang w:eastAsia="en-US"/>
              </w:rPr>
            </w:pPr>
          </w:p>
        </w:tc>
        <w:tc>
          <w:tcPr>
            <w:tcW w:w="1678" w:type="dxa"/>
          </w:tcPr>
          <w:p w14:paraId="728073E7">
            <w:pPr>
              <w:widowControl/>
              <w:snapToGrid w:val="0"/>
              <w:spacing w:line="240" w:lineRule="auto"/>
              <w:jc w:val="left"/>
              <w:rPr>
                <w:rFonts w:ascii="Times New Roman" w:hAnsi="Times New Roman" w:eastAsia="宋体" w:cs="Times New Roman"/>
                <w:kern w:val="0"/>
                <w:sz w:val="18"/>
                <w:szCs w:val="18"/>
                <w:lang w:eastAsia="en-US"/>
              </w:rPr>
            </w:pPr>
          </w:p>
        </w:tc>
        <w:tc>
          <w:tcPr>
            <w:tcW w:w="1678" w:type="dxa"/>
          </w:tcPr>
          <w:p w14:paraId="44EB58AF">
            <w:pPr>
              <w:widowControl/>
              <w:snapToGrid w:val="0"/>
              <w:spacing w:line="240" w:lineRule="auto"/>
              <w:jc w:val="left"/>
              <w:rPr>
                <w:rFonts w:ascii="Times New Roman" w:hAnsi="Times New Roman" w:eastAsia="宋体" w:cs="Times New Roman"/>
                <w:kern w:val="0"/>
                <w:sz w:val="18"/>
                <w:szCs w:val="18"/>
                <w:lang w:eastAsia="en-US"/>
              </w:rPr>
            </w:pPr>
          </w:p>
        </w:tc>
        <w:tc>
          <w:tcPr>
            <w:tcW w:w="1678" w:type="dxa"/>
          </w:tcPr>
          <w:p w14:paraId="13B5FD7B">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(0.050)</w:t>
            </w:r>
          </w:p>
        </w:tc>
      </w:tr>
      <w:tr w14:paraId="3947994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Pr>
          <w:p w14:paraId="2D1DD570">
            <w:pPr>
              <w:widowControl/>
              <w:snapToGrid w:val="0"/>
              <w:spacing w:line="240" w:lineRule="auto"/>
              <w:jc w:val="left"/>
              <w:rPr>
                <w:rFonts w:ascii="Times New Roman" w:hAnsi="Times New Roman" w:eastAsia="宋体" w:cs="Times New Roman"/>
                <w:i/>
                <w:iCs/>
                <w:kern w:val="0"/>
                <w:sz w:val="18"/>
                <w:szCs w:val="18"/>
                <w:lang w:eastAsia="en-US"/>
              </w:rPr>
            </w:pPr>
            <w:r>
              <w:rPr>
                <w:rFonts w:ascii="Times New Roman" w:hAnsi="Times New Roman" w:eastAsia="宋体" w:cs="Times New Roman"/>
                <w:i/>
                <w:iCs/>
                <w:kern w:val="0"/>
                <w:sz w:val="18"/>
                <w:szCs w:val="18"/>
                <w:lang w:eastAsia="en-US"/>
              </w:rPr>
              <w:t>cons</w:t>
            </w:r>
          </w:p>
        </w:tc>
        <w:tc>
          <w:tcPr>
            <w:tcW w:w="1677" w:type="dxa"/>
          </w:tcPr>
          <w:p w14:paraId="6C91FEF4">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-2.2889***</w:t>
            </w:r>
          </w:p>
        </w:tc>
        <w:tc>
          <w:tcPr>
            <w:tcW w:w="1678" w:type="dxa"/>
          </w:tcPr>
          <w:p w14:paraId="37EECB9B">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0.0713***</w:t>
            </w:r>
          </w:p>
        </w:tc>
        <w:tc>
          <w:tcPr>
            <w:tcW w:w="1678" w:type="dxa"/>
          </w:tcPr>
          <w:p w14:paraId="5F05C19D">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-0.0182</w:t>
            </w:r>
          </w:p>
        </w:tc>
        <w:tc>
          <w:tcPr>
            <w:tcW w:w="1678" w:type="dxa"/>
          </w:tcPr>
          <w:p w14:paraId="7AE188BC">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-0.0118</w:t>
            </w:r>
          </w:p>
        </w:tc>
      </w:tr>
      <w:tr w14:paraId="208ED58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Pr>
          <w:p w14:paraId="0AD0BBF9">
            <w:pPr>
              <w:widowControl/>
              <w:snapToGrid w:val="0"/>
              <w:spacing w:line="240" w:lineRule="auto"/>
              <w:jc w:val="left"/>
              <w:rPr>
                <w:rFonts w:ascii="Times New Roman" w:hAnsi="Times New Roman" w:eastAsia="宋体" w:cs="Times New Roman"/>
                <w:i/>
                <w:iCs/>
                <w:kern w:val="0"/>
                <w:sz w:val="18"/>
                <w:szCs w:val="18"/>
                <w:lang w:eastAsia="en-US"/>
              </w:rPr>
            </w:pPr>
          </w:p>
        </w:tc>
        <w:tc>
          <w:tcPr>
            <w:tcW w:w="1677" w:type="dxa"/>
          </w:tcPr>
          <w:p w14:paraId="04C7FE40">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(0.209)</w:t>
            </w:r>
          </w:p>
        </w:tc>
        <w:tc>
          <w:tcPr>
            <w:tcW w:w="1678" w:type="dxa"/>
          </w:tcPr>
          <w:p w14:paraId="077198F9">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(0.024)</w:t>
            </w:r>
          </w:p>
        </w:tc>
        <w:tc>
          <w:tcPr>
            <w:tcW w:w="1678" w:type="dxa"/>
          </w:tcPr>
          <w:p w14:paraId="2C063305">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(0.023)</w:t>
            </w:r>
          </w:p>
        </w:tc>
        <w:tc>
          <w:tcPr>
            <w:tcW w:w="1678" w:type="dxa"/>
          </w:tcPr>
          <w:p w14:paraId="04E000E4">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(0.028)</w:t>
            </w:r>
          </w:p>
        </w:tc>
      </w:tr>
      <w:tr w14:paraId="54760B8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Pr>
          <w:p w14:paraId="22A2D724">
            <w:pPr>
              <w:widowControl/>
              <w:snapToGrid w:val="0"/>
              <w:spacing w:line="240" w:lineRule="auto"/>
              <w:jc w:val="left"/>
              <w:rPr>
                <w:rFonts w:ascii="Times New Roman" w:hAnsi="Times New Roman" w:eastAsia="宋体" w:cs="Times New Roman"/>
                <w:i/>
                <w:iCs/>
                <w:kern w:val="0"/>
                <w:sz w:val="18"/>
                <w:szCs w:val="18"/>
                <w:lang w:eastAsia="en-US"/>
              </w:rPr>
            </w:pPr>
            <w:r>
              <w:rPr>
                <w:rFonts w:hint="eastAsia" w:ascii="Times New Roman" w:hAnsi="Times New Roman" w:eastAsia="宋体" w:cs="Times New Roman"/>
                <w:i/>
                <w:iCs/>
                <w:sz w:val="18"/>
                <w:szCs w:val="18"/>
              </w:rPr>
              <w:t>Controls</w:t>
            </w:r>
          </w:p>
        </w:tc>
        <w:tc>
          <w:tcPr>
            <w:tcW w:w="1677" w:type="dxa"/>
          </w:tcPr>
          <w:p w14:paraId="5C2448E8">
            <w:pPr>
              <w:widowControl/>
              <w:snapToGrid w:val="0"/>
              <w:spacing w:line="240" w:lineRule="auto"/>
              <w:jc w:val="left"/>
              <w:rPr>
                <w:rFonts w:ascii="Times New Roman" w:hAnsi="Times New Roman" w:eastAsia="宋体" w:cs="Times New Roman"/>
                <w:kern w:val="0"/>
                <w:sz w:val="18"/>
                <w:szCs w:val="18"/>
                <w:lang w:eastAsia="en-US"/>
              </w:rPr>
            </w:pPr>
            <w:r>
              <w:rPr>
                <w:rFonts w:hint="eastAsia" w:ascii="Times New Roman" w:hAnsi="Times New Roman" w:eastAsia="宋体" w:cs="Times New Roman"/>
                <w:sz w:val="18"/>
                <w:szCs w:val="18"/>
              </w:rPr>
              <w:t>Yes</w:t>
            </w:r>
          </w:p>
        </w:tc>
        <w:tc>
          <w:tcPr>
            <w:tcW w:w="1678" w:type="dxa"/>
          </w:tcPr>
          <w:p w14:paraId="770DDB66">
            <w:pPr>
              <w:widowControl/>
              <w:snapToGrid w:val="0"/>
              <w:spacing w:line="240" w:lineRule="auto"/>
              <w:jc w:val="left"/>
              <w:rPr>
                <w:rFonts w:ascii="Times New Roman" w:hAnsi="Times New Roman" w:eastAsia="宋体" w:cs="Times New Roman"/>
                <w:kern w:val="0"/>
                <w:sz w:val="18"/>
                <w:szCs w:val="18"/>
                <w:lang w:eastAsia="en-US"/>
              </w:rPr>
            </w:pPr>
            <w:r>
              <w:rPr>
                <w:rFonts w:hint="eastAsia" w:ascii="Times New Roman" w:hAnsi="Times New Roman" w:eastAsia="宋体" w:cs="Times New Roman"/>
                <w:sz w:val="18"/>
                <w:szCs w:val="18"/>
              </w:rPr>
              <w:t>Yes</w:t>
            </w:r>
          </w:p>
        </w:tc>
        <w:tc>
          <w:tcPr>
            <w:tcW w:w="1678" w:type="dxa"/>
          </w:tcPr>
          <w:p w14:paraId="69A6C034">
            <w:pPr>
              <w:widowControl/>
              <w:snapToGrid w:val="0"/>
              <w:spacing w:line="240" w:lineRule="auto"/>
              <w:jc w:val="left"/>
              <w:rPr>
                <w:rFonts w:ascii="Times New Roman" w:hAnsi="Times New Roman" w:eastAsia="宋体" w:cs="Times New Roman"/>
                <w:kern w:val="0"/>
                <w:sz w:val="18"/>
                <w:szCs w:val="18"/>
                <w:lang w:eastAsia="en-US"/>
              </w:rPr>
            </w:pPr>
            <w:r>
              <w:rPr>
                <w:rFonts w:hint="eastAsia" w:ascii="Times New Roman" w:hAnsi="Times New Roman" w:eastAsia="宋体" w:cs="Times New Roman"/>
                <w:sz w:val="18"/>
                <w:szCs w:val="18"/>
              </w:rPr>
              <w:t>Yes</w:t>
            </w:r>
          </w:p>
        </w:tc>
        <w:tc>
          <w:tcPr>
            <w:tcW w:w="1678" w:type="dxa"/>
          </w:tcPr>
          <w:p w14:paraId="3D287750">
            <w:pPr>
              <w:widowControl/>
              <w:snapToGrid w:val="0"/>
              <w:spacing w:line="240" w:lineRule="auto"/>
              <w:jc w:val="left"/>
              <w:rPr>
                <w:rFonts w:ascii="Times New Roman" w:hAnsi="Times New Roman" w:eastAsia="宋体" w:cs="Times New Roman"/>
                <w:kern w:val="0"/>
                <w:sz w:val="18"/>
                <w:szCs w:val="18"/>
                <w:lang w:eastAsia="en-US"/>
              </w:rPr>
            </w:pPr>
            <w:r>
              <w:rPr>
                <w:rFonts w:hint="eastAsia" w:ascii="Times New Roman" w:hAnsi="Times New Roman" w:eastAsia="宋体" w:cs="Times New Roman"/>
                <w:sz w:val="18"/>
                <w:szCs w:val="18"/>
              </w:rPr>
              <w:t>Yes</w:t>
            </w:r>
          </w:p>
        </w:tc>
      </w:tr>
      <w:tr w14:paraId="5D05AAA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Pr>
          <w:p w14:paraId="4FA54795">
            <w:pPr>
              <w:widowControl/>
              <w:snapToGrid w:val="0"/>
              <w:spacing w:line="240" w:lineRule="auto"/>
              <w:jc w:val="left"/>
              <w:rPr>
                <w:rFonts w:ascii="Times New Roman" w:hAnsi="Times New Roman" w:eastAsia="宋体" w:cs="Times New Roman"/>
                <w:i/>
                <w:iCs/>
                <w:kern w:val="0"/>
                <w:sz w:val="18"/>
                <w:szCs w:val="18"/>
                <w:lang w:eastAsia="en-US"/>
              </w:rPr>
            </w:pPr>
            <w:r>
              <w:rPr>
                <w:rFonts w:hint="eastAsia" w:ascii="Times New Roman" w:hAnsi="Times New Roman" w:eastAsia="宋体" w:cs="Times New Roman"/>
                <w:i/>
                <w:iCs/>
                <w:sz w:val="18"/>
                <w:szCs w:val="18"/>
              </w:rPr>
              <w:t>Year FE</w:t>
            </w:r>
          </w:p>
        </w:tc>
        <w:tc>
          <w:tcPr>
            <w:tcW w:w="1677" w:type="dxa"/>
          </w:tcPr>
          <w:p w14:paraId="12B7FD8B">
            <w:pPr>
              <w:widowControl/>
              <w:snapToGrid w:val="0"/>
              <w:spacing w:line="240" w:lineRule="auto"/>
              <w:jc w:val="left"/>
              <w:rPr>
                <w:rFonts w:ascii="Times New Roman" w:hAnsi="Times New Roman" w:eastAsia="宋体" w:cs="Times New Roman"/>
                <w:kern w:val="0"/>
                <w:sz w:val="18"/>
                <w:szCs w:val="18"/>
                <w:lang w:eastAsia="en-US"/>
              </w:rPr>
            </w:pPr>
            <w:r>
              <w:rPr>
                <w:rFonts w:hint="eastAsia" w:ascii="Times New Roman" w:hAnsi="Times New Roman" w:eastAsia="宋体" w:cs="Times New Roman"/>
                <w:sz w:val="18"/>
                <w:szCs w:val="18"/>
              </w:rPr>
              <w:t>Yes</w:t>
            </w:r>
          </w:p>
        </w:tc>
        <w:tc>
          <w:tcPr>
            <w:tcW w:w="1678" w:type="dxa"/>
          </w:tcPr>
          <w:p w14:paraId="37866BE1">
            <w:pPr>
              <w:widowControl/>
              <w:snapToGrid w:val="0"/>
              <w:spacing w:line="240" w:lineRule="auto"/>
              <w:jc w:val="left"/>
              <w:rPr>
                <w:rFonts w:ascii="Times New Roman" w:hAnsi="Times New Roman" w:eastAsia="宋体" w:cs="Times New Roman"/>
                <w:kern w:val="0"/>
                <w:sz w:val="18"/>
                <w:szCs w:val="18"/>
                <w:lang w:eastAsia="en-US"/>
              </w:rPr>
            </w:pPr>
            <w:r>
              <w:rPr>
                <w:rFonts w:hint="eastAsia" w:ascii="Times New Roman" w:hAnsi="Times New Roman" w:eastAsia="宋体" w:cs="Times New Roman"/>
                <w:sz w:val="18"/>
                <w:szCs w:val="18"/>
              </w:rPr>
              <w:t>Yes</w:t>
            </w:r>
          </w:p>
        </w:tc>
        <w:tc>
          <w:tcPr>
            <w:tcW w:w="1678" w:type="dxa"/>
          </w:tcPr>
          <w:p w14:paraId="3AE55AEC">
            <w:pPr>
              <w:widowControl/>
              <w:snapToGrid w:val="0"/>
              <w:spacing w:line="240" w:lineRule="auto"/>
              <w:jc w:val="left"/>
              <w:rPr>
                <w:rFonts w:ascii="Times New Roman" w:hAnsi="Times New Roman" w:eastAsia="宋体" w:cs="Times New Roman"/>
                <w:kern w:val="0"/>
                <w:sz w:val="18"/>
                <w:szCs w:val="18"/>
                <w:lang w:eastAsia="en-US"/>
              </w:rPr>
            </w:pPr>
            <w:r>
              <w:rPr>
                <w:rFonts w:hint="eastAsia" w:ascii="Times New Roman" w:hAnsi="Times New Roman" w:eastAsia="宋体" w:cs="Times New Roman"/>
                <w:sz w:val="18"/>
                <w:szCs w:val="18"/>
              </w:rPr>
              <w:t>Yes</w:t>
            </w:r>
          </w:p>
        </w:tc>
        <w:tc>
          <w:tcPr>
            <w:tcW w:w="1678" w:type="dxa"/>
          </w:tcPr>
          <w:p w14:paraId="0BDDF4D1">
            <w:pPr>
              <w:widowControl/>
              <w:snapToGrid w:val="0"/>
              <w:spacing w:line="240" w:lineRule="auto"/>
              <w:jc w:val="left"/>
              <w:rPr>
                <w:rFonts w:ascii="Times New Roman" w:hAnsi="Times New Roman" w:eastAsia="宋体" w:cs="Times New Roman"/>
                <w:kern w:val="0"/>
                <w:sz w:val="18"/>
                <w:szCs w:val="18"/>
                <w:lang w:eastAsia="en-US"/>
              </w:rPr>
            </w:pPr>
            <w:r>
              <w:rPr>
                <w:rFonts w:hint="eastAsia" w:ascii="Times New Roman" w:hAnsi="Times New Roman" w:eastAsia="宋体" w:cs="Times New Roman"/>
                <w:sz w:val="18"/>
                <w:szCs w:val="18"/>
              </w:rPr>
              <w:t>Yes</w:t>
            </w:r>
          </w:p>
        </w:tc>
      </w:tr>
      <w:tr w14:paraId="1DE805E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Pr>
          <w:p w14:paraId="3D7183E4">
            <w:pPr>
              <w:widowControl/>
              <w:snapToGrid w:val="0"/>
              <w:spacing w:line="240" w:lineRule="auto"/>
              <w:jc w:val="left"/>
              <w:rPr>
                <w:rFonts w:ascii="Times New Roman" w:hAnsi="Times New Roman" w:eastAsia="宋体" w:cs="Times New Roman"/>
                <w:i/>
                <w:iCs/>
                <w:kern w:val="0"/>
                <w:sz w:val="18"/>
                <w:szCs w:val="18"/>
                <w:lang w:eastAsia="en-US"/>
              </w:rPr>
            </w:pPr>
            <w:r>
              <w:rPr>
                <w:rFonts w:hint="eastAsia" w:ascii="Times New Roman" w:hAnsi="Times New Roman" w:eastAsia="宋体" w:cs="Times New Roman"/>
                <w:i/>
                <w:iCs/>
                <w:sz w:val="18"/>
                <w:szCs w:val="18"/>
              </w:rPr>
              <w:t>Province FE</w:t>
            </w:r>
          </w:p>
        </w:tc>
        <w:tc>
          <w:tcPr>
            <w:tcW w:w="1677" w:type="dxa"/>
          </w:tcPr>
          <w:p w14:paraId="46DDA1E3">
            <w:pPr>
              <w:widowControl/>
              <w:snapToGrid w:val="0"/>
              <w:spacing w:line="240" w:lineRule="auto"/>
              <w:jc w:val="left"/>
              <w:rPr>
                <w:rFonts w:ascii="Times New Roman" w:hAnsi="Times New Roman" w:eastAsia="宋体" w:cs="Times New Roman"/>
                <w:kern w:val="0"/>
                <w:sz w:val="18"/>
                <w:szCs w:val="18"/>
                <w:lang w:eastAsia="en-US"/>
              </w:rPr>
            </w:pPr>
            <w:r>
              <w:rPr>
                <w:rFonts w:hint="eastAsia" w:ascii="Times New Roman" w:hAnsi="Times New Roman" w:eastAsia="宋体" w:cs="Times New Roman"/>
                <w:sz w:val="18"/>
                <w:szCs w:val="18"/>
              </w:rPr>
              <w:t>Yes</w:t>
            </w:r>
          </w:p>
        </w:tc>
        <w:tc>
          <w:tcPr>
            <w:tcW w:w="1678" w:type="dxa"/>
          </w:tcPr>
          <w:p w14:paraId="3F98560F">
            <w:pPr>
              <w:widowControl/>
              <w:snapToGrid w:val="0"/>
              <w:spacing w:line="240" w:lineRule="auto"/>
              <w:jc w:val="left"/>
              <w:rPr>
                <w:rFonts w:ascii="Times New Roman" w:hAnsi="Times New Roman" w:eastAsia="宋体" w:cs="Times New Roman"/>
                <w:kern w:val="0"/>
                <w:sz w:val="18"/>
                <w:szCs w:val="18"/>
                <w:lang w:eastAsia="en-US"/>
              </w:rPr>
            </w:pPr>
            <w:r>
              <w:rPr>
                <w:rFonts w:hint="eastAsia" w:ascii="Times New Roman" w:hAnsi="Times New Roman" w:eastAsia="宋体" w:cs="Times New Roman"/>
                <w:sz w:val="18"/>
                <w:szCs w:val="18"/>
              </w:rPr>
              <w:t>Yes</w:t>
            </w:r>
          </w:p>
        </w:tc>
        <w:tc>
          <w:tcPr>
            <w:tcW w:w="1678" w:type="dxa"/>
          </w:tcPr>
          <w:p w14:paraId="522A5A0F">
            <w:pPr>
              <w:widowControl/>
              <w:snapToGrid w:val="0"/>
              <w:spacing w:line="240" w:lineRule="auto"/>
              <w:jc w:val="left"/>
              <w:rPr>
                <w:rFonts w:ascii="Times New Roman" w:hAnsi="Times New Roman" w:eastAsia="宋体" w:cs="Times New Roman"/>
                <w:kern w:val="0"/>
                <w:sz w:val="18"/>
                <w:szCs w:val="18"/>
                <w:lang w:eastAsia="en-US"/>
              </w:rPr>
            </w:pPr>
            <w:r>
              <w:rPr>
                <w:rFonts w:hint="eastAsia" w:ascii="Times New Roman" w:hAnsi="Times New Roman" w:eastAsia="宋体" w:cs="Times New Roman"/>
                <w:sz w:val="18"/>
                <w:szCs w:val="18"/>
              </w:rPr>
              <w:t>Yes</w:t>
            </w:r>
          </w:p>
        </w:tc>
        <w:tc>
          <w:tcPr>
            <w:tcW w:w="1678" w:type="dxa"/>
          </w:tcPr>
          <w:p w14:paraId="3DCDDEC5">
            <w:pPr>
              <w:widowControl/>
              <w:snapToGrid w:val="0"/>
              <w:spacing w:line="240" w:lineRule="auto"/>
              <w:jc w:val="left"/>
              <w:rPr>
                <w:rFonts w:ascii="Times New Roman" w:hAnsi="Times New Roman" w:eastAsia="宋体" w:cs="Times New Roman"/>
                <w:kern w:val="0"/>
                <w:sz w:val="18"/>
                <w:szCs w:val="18"/>
                <w:lang w:eastAsia="en-US"/>
              </w:rPr>
            </w:pPr>
            <w:r>
              <w:rPr>
                <w:rFonts w:hint="eastAsia" w:ascii="Times New Roman" w:hAnsi="Times New Roman" w:eastAsia="宋体" w:cs="Times New Roman"/>
                <w:sz w:val="18"/>
                <w:szCs w:val="18"/>
              </w:rPr>
              <w:t>Yes</w:t>
            </w:r>
          </w:p>
        </w:tc>
      </w:tr>
      <w:tr w14:paraId="2879507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Pr>
          <w:p w14:paraId="6938578C">
            <w:pPr>
              <w:widowControl/>
              <w:snapToGrid w:val="0"/>
              <w:spacing w:line="240" w:lineRule="auto"/>
              <w:jc w:val="left"/>
              <w:rPr>
                <w:rFonts w:ascii="Times New Roman" w:hAnsi="Times New Roman" w:eastAsia="宋体" w:cs="Times New Roman"/>
                <w:i/>
                <w:iCs/>
                <w:kern w:val="0"/>
                <w:sz w:val="18"/>
                <w:szCs w:val="18"/>
                <w:lang w:eastAsia="en-US"/>
              </w:rPr>
            </w:pPr>
            <w:r>
              <w:rPr>
                <w:rFonts w:ascii="Times New Roman" w:hAnsi="Times New Roman" w:eastAsia="宋体" w:cs="Times New Roman"/>
                <w:i/>
                <w:iCs/>
                <w:kern w:val="0"/>
                <w:sz w:val="18"/>
                <w:szCs w:val="18"/>
                <w:lang w:eastAsia="en-US"/>
              </w:rPr>
              <w:t>N</w:t>
            </w:r>
          </w:p>
        </w:tc>
        <w:tc>
          <w:tcPr>
            <w:tcW w:w="1677" w:type="dxa"/>
          </w:tcPr>
          <w:p w14:paraId="318378C4">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360</w:t>
            </w:r>
          </w:p>
        </w:tc>
        <w:tc>
          <w:tcPr>
            <w:tcW w:w="1678" w:type="dxa"/>
          </w:tcPr>
          <w:p w14:paraId="1BBCC80E">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312</w:t>
            </w:r>
          </w:p>
        </w:tc>
        <w:tc>
          <w:tcPr>
            <w:tcW w:w="1678" w:type="dxa"/>
          </w:tcPr>
          <w:p w14:paraId="34537430">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360</w:t>
            </w:r>
          </w:p>
        </w:tc>
        <w:tc>
          <w:tcPr>
            <w:tcW w:w="1678" w:type="dxa"/>
          </w:tcPr>
          <w:p w14:paraId="009D2AA3">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330</w:t>
            </w:r>
          </w:p>
        </w:tc>
      </w:tr>
      <w:tr w14:paraId="74EDF0E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1595" w:type="dxa"/>
          </w:tcPr>
          <w:p w14:paraId="51117166">
            <w:pPr>
              <w:widowControl/>
              <w:snapToGrid w:val="0"/>
              <w:spacing w:line="240" w:lineRule="auto"/>
              <w:jc w:val="left"/>
              <w:rPr>
                <w:rFonts w:ascii="Times New Roman" w:hAnsi="Times New Roman" w:eastAsia="宋体" w:cs="Times New Roman"/>
                <w:i/>
                <w:iCs/>
                <w:kern w:val="0"/>
                <w:sz w:val="18"/>
                <w:szCs w:val="18"/>
                <w:lang w:eastAsia="en-US"/>
              </w:rPr>
            </w:pPr>
            <w:r>
              <w:rPr>
                <w:rFonts w:ascii="Times New Roman" w:hAnsi="Times New Roman" w:eastAsia="宋体" w:cs="Times New Roman"/>
                <w:i/>
                <w:iCs/>
                <w:kern w:val="0"/>
                <w:sz w:val="18"/>
                <w:szCs w:val="18"/>
                <w:lang w:eastAsia="en-US"/>
              </w:rPr>
              <w:t>R</w:t>
            </w:r>
            <w:r>
              <w:rPr>
                <w:rFonts w:ascii="Times New Roman" w:hAnsi="Times New Roman" w:eastAsia="宋体" w:cs="Times New Roman"/>
                <w:i/>
                <w:iCs/>
                <w:kern w:val="0"/>
                <w:sz w:val="18"/>
                <w:szCs w:val="18"/>
                <w:vertAlign w:val="superscript"/>
                <w:lang w:eastAsia="en-US"/>
              </w:rPr>
              <w:t>2</w:t>
            </w:r>
          </w:p>
        </w:tc>
        <w:tc>
          <w:tcPr>
            <w:tcW w:w="1677" w:type="dxa"/>
          </w:tcPr>
          <w:p w14:paraId="25383EEB">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0.9820</w:t>
            </w:r>
          </w:p>
        </w:tc>
        <w:tc>
          <w:tcPr>
            <w:tcW w:w="1678" w:type="dxa"/>
          </w:tcPr>
          <w:p w14:paraId="79D28BE5">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0.9707</w:t>
            </w:r>
          </w:p>
        </w:tc>
        <w:tc>
          <w:tcPr>
            <w:tcW w:w="1678" w:type="dxa"/>
          </w:tcPr>
          <w:p w14:paraId="1D4DB7D2">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0.9553</w:t>
            </w:r>
          </w:p>
        </w:tc>
        <w:tc>
          <w:tcPr>
            <w:tcW w:w="1678" w:type="dxa"/>
          </w:tcPr>
          <w:p w14:paraId="4991AEDB">
            <w:pPr>
              <w:widowControl/>
              <w:snapToGrid w:val="0"/>
              <w:spacing w:line="240" w:lineRule="auto"/>
              <w:jc w:val="left"/>
              <w:rPr>
                <w:rFonts w:ascii="Times New Roman" w:hAnsi="Times New Roman" w:eastAsia="宋体" w:cs="Times New Roman"/>
                <w:kern w:val="0"/>
                <w:sz w:val="18"/>
                <w:szCs w:val="18"/>
                <w:lang w:eastAsia="en-US"/>
              </w:rPr>
            </w:pPr>
            <w:r>
              <w:rPr>
                <w:rFonts w:ascii="Times New Roman" w:hAnsi="Times New Roman" w:eastAsia="宋体" w:cs="Times New Roman"/>
                <w:kern w:val="0"/>
                <w:sz w:val="18"/>
                <w:szCs w:val="18"/>
                <w:lang w:eastAsia="en-US"/>
              </w:rPr>
              <w:t>0.9512</w:t>
            </w:r>
          </w:p>
        </w:tc>
      </w:tr>
    </w:tbl>
    <w:p w14:paraId="180C7368">
      <w:pPr>
        <w:widowControl/>
        <w:rPr>
          <w:rFonts w:ascii="Times New Roman" w:hAnsi="Times New Roman" w:eastAsia="宋体" w:cs="Times New Roman"/>
          <w:sz w:val="18"/>
          <w:szCs w:val="18"/>
        </w:rPr>
      </w:pPr>
      <w:r>
        <w:rPr>
          <w:rFonts w:ascii="Times New Roman" w:hAnsi="Times New Roman" w:eastAsia="宋体" w:cs="Times New Roman"/>
          <w:sz w:val="18"/>
          <w:szCs w:val="18"/>
        </w:rPr>
        <w:t>Note: ***, ** and * denote significance levels of 1 %, 5 % and 10 %.</w:t>
      </w:r>
    </w:p>
    <w:p w14:paraId="06323933">
      <w:pPr>
        <w:widowControl/>
        <w:rPr>
          <w:rFonts w:ascii="Times New Roman" w:hAnsi="Times New Roman" w:eastAsia="宋体" w:cs="Times New Roman"/>
          <w:sz w:val="18"/>
          <w:szCs w:val="18"/>
        </w:rPr>
      </w:pPr>
    </w:p>
    <w:p w14:paraId="30B40C70">
      <w:pPr>
        <w:spacing w:after="120" w:afterLines="50" w:line="480" w:lineRule="auto"/>
        <w:rPr>
          <w:rFonts w:hint="eastAsia" w:ascii="Times New Roman" w:hAnsi="Times New Roman" w:cs="Times New Roman"/>
          <w:b/>
          <w:bCs/>
          <w:szCs w:val="24"/>
        </w:rPr>
      </w:pPr>
      <w:r>
        <w:rPr>
          <w:rFonts w:hint="eastAsia" w:ascii="Times New Roman" w:hAnsi="Times New Roman" w:cs="Times New Roman"/>
          <w:b/>
          <w:bCs/>
          <w:szCs w:val="24"/>
        </w:rPr>
        <w:t>4.3. Mediation Effects</w:t>
      </w:r>
    </w:p>
    <w:p w14:paraId="064DEC3F">
      <w:pPr>
        <w:spacing w:after="120" w:afterLines="50" w:line="480" w:lineRule="auto"/>
        <w:ind w:firstLine="482"/>
        <w:rPr>
          <w:rFonts w:ascii="Times New Roman" w:hAnsi="Times New Roman" w:cs="Times New Roman"/>
          <w:szCs w:val="24"/>
        </w:rPr>
      </w:pPr>
      <w:r>
        <w:rPr>
          <w:rFonts w:ascii="Times New Roman" w:hAnsi="Times New Roman" w:cs="Times New Roman"/>
          <w:szCs w:val="24"/>
        </w:rPr>
        <w:t xml:space="preserve">The mediation analysis results are presented in </w:t>
      </w:r>
      <w:r>
        <w:rPr>
          <w:rStyle w:val="23"/>
          <w:color w:val="0070C0"/>
        </w:rPr>
        <w:fldChar w:fldCharType="begin"/>
      </w:r>
      <w:r>
        <w:rPr>
          <w:rStyle w:val="23"/>
          <w:color w:val="0070C0"/>
        </w:rPr>
        <w:instrText xml:space="preserve"> REF _Ref216098888 \h  \* MERGEFORMAT </w:instrText>
      </w:r>
      <w:r>
        <w:rPr>
          <w:rStyle w:val="23"/>
          <w:color w:val="0070C0"/>
        </w:rPr>
        <w:fldChar w:fldCharType="separate"/>
      </w:r>
      <w:r>
        <w:rPr>
          <w:rStyle w:val="23"/>
          <w:rFonts w:hint="eastAsia"/>
          <w:color w:val="0070C0"/>
        </w:rPr>
        <w:t xml:space="preserve">Table </w:t>
      </w:r>
      <w:r>
        <w:rPr>
          <w:rStyle w:val="23"/>
          <w:color w:val="0070C0"/>
        </w:rPr>
        <w:t>6</w:t>
      </w:r>
      <w:r>
        <w:rPr>
          <w:rStyle w:val="23"/>
          <w:color w:val="0070C0"/>
        </w:rPr>
        <w:fldChar w:fldCharType="end"/>
      </w:r>
      <w:r>
        <w:rPr>
          <w:rStyle w:val="23"/>
        </w:rPr>
        <w:t>.</w:t>
      </w:r>
      <w:r>
        <w:rPr>
          <w:rFonts w:ascii="Times New Roman" w:hAnsi="Times New Roman" w:cs="Times New Roman"/>
          <w:szCs w:val="24"/>
        </w:rPr>
        <w:t xml:space="preserve"> Column (1) </w:t>
      </w:r>
      <w:r>
        <w:rPr>
          <w:rFonts w:hint="eastAsia" w:ascii="Times New Roman" w:hAnsi="Times New Roman" w:cs="Times New Roman"/>
          <w:szCs w:val="24"/>
        </w:rPr>
        <w:t xml:space="preserve">shows that </w:t>
      </w:r>
      <w:r>
        <w:rPr>
          <w:rFonts w:ascii="Times New Roman" w:hAnsi="Times New Roman" w:cs="Times New Roman"/>
          <w:szCs w:val="24"/>
        </w:rPr>
        <w:t xml:space="preserve">NTU </w:t>
      </w:r>
      <w:r>
        <w:rPr>
          <w:rFonts w:hint="eastAsia" w:ascii="Times New Roman" w:hAnsi="Times New Roman" w:cs="Times New Roman"/>
          <w:szCs w:val="24"/>
        </w:rPr>
        <w:t xml:space="preserve">exhibits a </w:t>
      </w:r>
      <w:r>
        <w:rPr>
          <w:rFonts w:ascii="Times New Roman" w:hAnsi="Times New Roman" w:cs="Times New Roman"/>
          <w:szCs w:val="24"/>
        </w:rPr>
        <w:t>significantly positive coefficient of 0.1359</w:t>
      </w:r>
      <w:r>
        <w:rPr>
          <w:rFonts w:hint="eastAsia" w:ascii="Times New Roman" w:hAnsi="Times New Roman" w:cs="Times New Roman"/>
          <w:szCs w:val="24"/>
          <w:lang w:val="en-US" w:eastAsia="zh-CN"/>
        </w:rPr>
        <w:t xml:space="preserve"> </w:t>
      </w:r>
      <w:r>
        <w:rPr>
          <w:rFonts w:ascii="Times New Roman" w:hAnsi="Times New Roman" w:cs="Times New Roman"/>
          <w:szCs w:val="24"/>
        </w:rPr>
        <w:t>on GTI, indicating that NTU can enhance AER</w:t>
      </w:r>
      <w:r>
        <w:rPr>
          <w:rFonts w:hint="eastAsia" w:ascii="Times New Roman" w:hAnsi="Times New Roman" w:cs="Times New Roman"/>
          <w:szCs w:val="24"/>
        </w:rPr>
        <w:t xml:space="preserve"> </w:t>
      </w:r>
      <w:r>
        <w:rPr>
          <w:rFonts w:ascii="Times New Roman" w:hAnsi="Times New Roman" w:cs="Times New Roman"/>
          <w:szCs w:val="24"/>
        </w:rPr>
        <w:t xml:space="preserve">through the channel of </w:t>
      </w:r>
      <w:r>
        <w:rPr>
          <w:rFonts w:hint="eastAsia" w:ascii="Times New Roman" w:hAnsi="Times New Roman" w:cs="Times New Roman"/>
          <w:szCs w:val="24"/>
          <w:lang w:val="en-US" w:eastAsia="zh-CN"/>
        </w:rPr>
        <w:t>GTI</w:t>
      </w:r>
      <w:r>
        <w:rPr>
          <w:rFonts w:ascii="Times New Roman" w:hAnsi="Times New Roman" w:cs="Times New Roman"/>
          <w:szCs w:val="24"/>
        </w:rPr>
        <w:t xml:space="preserve">. Specifically, NTU promotes urban-rural integration </w:t>
      </w:r>
      <w:r>
        <w:rPr>
          <w:rFonts w:hint="eastAsia" w:ascii="Times New Roman" w:hAnsi="Times New Roman" w:cs="Times New Roman"/>
          <w:szCs w:val="24"/>
        </w:rPr>
        <w:t>by</w:t>
      </w:r>
      <w:r>
        <w:rPr>
          <w:rFonts w:ascii="Times New Roman" w:hAnsi="Times New Roman" w:cs="Times New Roman"/>
          <w:szCs w:val="24"/>
        </w:rPr>
        <w:t xml:space="preserve"> optimiz</w:t>
      </w:r>
      <w:r>
        <w:rPr>
          <w:rFonts w:hint="eastAsia" w:ascii="Times New Roman" w:hAnsi="Times New Roman" w:cs="Times New Roman"/>
          <w:szCs w:val="24"/>
        </w:rPr>
        <w:t>ing</w:t>
      </w:r>
      <w:r>
        <w:rPr>
          <w:rFonts w:ascii="Times New Roman" w:hAnsi="Times New Roman" w:cs="Times New Roman"/>
          <w:szCs w:val="24"/>
        </w:rPr>
        <w:t xml:space="preserve"> resource allocation and </w:t>
      </w:r>
      <w:r>
        <w:rPr>
          <w:rFonts w:hint="eastAsia" w:ascii="Times New Roman" w:hAnsi="Times New Roman" w:cs="Times New Roman"/>
          <w:szCs w:val="24"/>
        </w:rPr>
        <w:t>cultivating</w:t>
      </w:r>
      <w:r>
        <w:rPr>
          <w:rFonts w:ascii="Times New Roman" w:hAnsi="Times New Roman" w:cs="Times New Roman"/>
          <w:szCs w:val="24"/>
        </w:rPr>
        <w:t xml:space="preserve"> an innovation-</w:t>
      </w:r>
      <w:r>
        <w:rPr>
          <w:rFonts w:hint="eastAsia" w:ascii="Times New Roman" w:hAnsi="Times New Roman" w:cs="Times New Roman"/>
          <w:szCs w:val="24"/>
        </w:rPr>
        <w:t>conducive</w:t>
      </w:r>
      <w:r>
        <w:rPr>
          <w:rFonts w:ascii="Times New Roman" w:hAnsi="Times New Roman" w:cs="Times New Roman"/>
          <w:szCs w:val="24"/>
        </w:rPr>
        <w:t xml:space="preserve"> environment, </w:t>
      </w:r>
      <w:r>
        <w:rPr>
          <w:rFonts w:hint="eastAsia" w:ascii="Times New Roman" w:hAnsi="Times New Roman" w:cs="Times New Roman"/>
          <w:szCs w:val="24"/>
        </w:rPr>
        <w:t xml:space="preserve">thereby </w:t>
      </w:r>
      <w:r>
        <w:rPr>
          <w:rFonts w:ascii="Times New Roman" w:hAnsi="Times New Roman" w:cs="Times New Roman"/>
          <w:szCs w:val="24"/>
        </w:rPr>
        <w:t>establishing</w:t>
      </w:r>
      <w:r>
        <w:rPr>
          <w:rFonts w:hint="eastAsia" w:ascii="Times New Roman" w:hAnsi="Times New Roman" w:cs="Times New Roman"/>
          <w:szCs w:val="24"/>
        </w:rPr>
        <w:t xml:space="preserve"> </w:t>
      </w:r>
      <w:r>
        <w:rPr>
          <w:rFonts w:ascii="Times New Roman" w:hAnsi="Times New Roman" w:cs="Times New Roman"/>
          <w:szCs w:val="24"/>
        </w:rPr>
        <w:t>a solid foundation for the development and adoption of green agricultural technologies. The implementation of these technologies strengthens</w:t>
      </w:r>
      <w:r>
        <w:rPr>
          <w:rFonts w:hint="eastAsia" w:ascii="Times New Roman" w:hAnsi="Times New Roman" w:cs="Times New Roman"/>
          <w:szCs w:val="24"/>
        </w:rPr>
        <w:t xml:space="preserve"> both </w:t>
      </w:r>
      <w:r>
        <w:rPr>
          <w:rFonts w:ascii="Times New Roman" w:hAnsi="Times New Roman" w:cs="Times New Roman"/>
          <w:szCs w:val="24"/>
        </w:rPr>
        <w:t xml:space="preserve">the ecological adaptability and risk resistance of agricultural systems, </w:t>
      </w:r>
      <w:r>
        <w:rPr>
          <w:rFonts w:hint="eastAsia" w:ascii="Times New Roman" w:hAnsi="Times New Roman" w:cs="Times New Roman"/>
          <w:szCs w:val="24"/>
        </w:rPr>
        <w:t xml:space="preserve">ultimately </w:t>
      </w:r>
      <w:r>
        <w:rPr>
          <w:rFonts w:ascii="Times New Roman" w:hAnsi="Times New Roman" w:cs="Times New Roman"/>
          <w:szCs w:val="24"/>
        </w:rPr>
        <w:t>enhancing AER and supporting Hypothesis 2a.</w:t>
      </w:r>
    </w:p>
    <w:p w14:paraId="766CF244">
      <w:pPr>
        <w:spacing w:after="120" w:afterLines="50" w:line="480" w:lineRule="auto"/>
        <w:ind w:firstLine="482"/>
        <w:rPr>
          <w:rFonts w:ascii="Times New Roman" w:hAnsi="Times New Roman" w:cs="Times New Roman"/>
          <w:szCs w:val="24"/>
        </w:rPr>
      </w:pPr>
      <w:r>
        <w:rPr>
          <w:rFonts w:ascii="Times New Roman" w:hAnsi="Times New Roman" w:cs="Times New Roman"/>
          <w:szCs w:val="24"/>
        </w:rPr>
        <w:t xml:space="preserve">Column (2) of </w:t>
      </w:r>
      <w:r>
        <w:rPr>
          <w:rFonts w:ascii="Times New Roman" w:hAnsi="Times New Roman" w:cs="Times New Roman"/>
          <w:color w:val="0070C0"/>
          <w:szCs w:val="24"/>
        </w:rPr>
        <w:fldChar w:fldCharType="begin"/>
      </w:r>
      <w:r>
        <w:rPr>
          <w:rFonts w:ascii="Times New Roman" w:hAnsi="Times New Roman" w:cs="Times New Roman"/>
          <w:color w:val="0070C0"/>
          <w:szCs w:val="24"/>
        </w:rPr>
        <w:instrText xml:space="preserve"> REF _Ref216098888 \h  \* MERGEFORMAT </w:instrText>
      </w:r>
      <w:r>
        <w:rPr>
          <w:rFonts w:ascii="Times New Roman" w:hAnsi="Times New Roman" w:cs="Times New Roman"/>
          <w:color w:val="0070C0"/>
          <w:szCs w:val="24"/>
        </w:rPr>
        <w:fldChar w:fldCharType="separate"/>
      </w:r>
      <w:r>
        <w:rPr>
          <w:rFonts w:hint="eastAsia" w:ascii="Times New Roman" w:hAnsi="Times New Roman" w:cs="Times New Roman"/>
          <w:color w:val="0070C0"/>
          <w:szCs w:val="24"/>
        </w:rPr>
        <w:t xml:space="preserve">Table </w:t>
      </w:r>
      <w:r>
        <w:rPr>
          <w:rFonts w:ascii="Times New Roman" w:hAnsi="Times New Roman" w:cs="Times New Roman"/>
          <w:color w:val="0070C0"/>
          <w:szCs w:val="24"/>
        </w:rPr>
        <w:t>6</w:t>
      </w:r>
      <w:r>
        <w:rPr>
          <w:rFonts w:ascii="Times New Roman" w:hAnsi="Times New Roman" w:cs="Times New Roman"/>
          <w:color w:val="0070C0"/>
          <w:szCs w:val="24"/>
        </w:rPr>
        <w:fldChar w:fldCharType="end"/>
      </w:r>
      <w:r>
        <w:rPr>
          <w:rFonts w:ascii="Times New Roman" w:hAnsi="Times New Roman" w:cs="Times New Roman"/>
          <w:szCs w:val="24"/>
        </w:rPr>
        <w:t xml:space="preserve"> shows that </w:t>
      </w:r>
      <w:r>
        <w:rPr>
          <w:rFonts w:hint="eastAsia" w:ascii="Times New Roman" w:hAnsi="Times New Roman" w:cs="Times New Roman"/>
          <w:szCs w:val="24"/>
        </w:rPr>
        <w:t xml:space="preserve">NTU has </w:t>
      </w:r>
      <w:r>
        <w:rPr>
          <w:rFonts w:ascii="Times New Roman" w:hAnsi="Times New Roman" w:cs="Times New Roman"/>
          <w:szCs w:val="24"/>
        </w:rPr>
        <w:t>a significantly positive</w:t>
      </w:r>
      <w:r>
        <w:rPr>
          <w:rFonts w:hint="eastAsia" w:ascii="Times New Roman" w:hAnsi="Times New Roman" w:cs="Times New Roman"/>
          <w:szCs w:val="24"/>
        </w:rPr>
        <w:t xml:space="preserve"> </w:t>
      </w:r>
      <w:r>
        <w:rPr>
          <w:rFonts w:ascii="Times New Roman" w:hAnsi="Times New Roman" w:cs="Times New Roman"/>
          <w:szCs w:val="24"/>
        </w:rPr>
        <w:t>coefficient of 1.9078 on AEA, suggesting that NTU can enhance AER by stimulating agricultural entrepreneurship. By improving the entrepreneurial environment and facilitating factor mobility, NTU</w:t>
      </w:r>
      <w:r>
        <w:rPr>
          <w:rFonts w:hint="eastAsia" w:ascii="Times New Roman" w:hAnsi="Times New Roman" w:cs="Times New Roman"/>
          <w:szCs w:val="24"/>
        </w:rPr>
        <w:t xml:space="preserve"> </w:t>
      </w:r>
      <w:r>
        <w:rPr>
          <w:rFonts w:ascii="Times New Roman" w:hAnsi="Times New Roman" w:cs="Times New Roman"/>
          <w:szCs w:val="24"/>
        </w:rPr>
        <w:t xml:space="preserve">stimulates entrepreneurial dynamism in the agricultural sector, which in turn injects vitality into the rural economy. This process </w:t>
      </w:r>
      <w:r>
        <w:rPr>
          <w:rFonts w:hint="eastAsia" w:ascii="Times New Roman" w:hAnsi="Times New Roman" w:cs="Times New Roman"/>
          <w:szCs w:val="24"/>
        </w:rPr>
        <w:t>encourages</w:t>
      </w:r>
      <w:r>
        <w:rPr>
          <w:rFonts w:ascii="Times New Roman" w:hAnsi="Times New Roman" w:cs="Times New Roman"/>
          <w:szCs w:val="24"/>
        </w:rPr>
        <w:t xml:space="preserve"> the continuous emergence of</w:t>
      </w:r>
      <w:r>
        <w:rPr>
          <w:rFonts w:hint="eastAsia" w:ascii="Times New Roman" w:hAnsi="Times New Roman" w:cs="Times New Roman"/>
          <w:szCs w:val="24"/>
        </w:rPr>
        <w:t xml:space="preserve"> </w:t>
      </w:r>
      <w:r>
        <w:rPr>
          <w:rFonts w:ascii="Times New Roman" w:hAnsi="Times New Roman" w:cs="Times New Roman"/>
          <w:szCs w:val="24"/>
        </w:rPr>
        <w:t>innovative business models and operational</w:t>
      </w:r>
      <w:r>
        <w:rPr>
          <w:rFonts w:hint="eastAsia" w:ascii="Times New Roman" w:hAnsi="Times New Roman" w:cs="Times New Roman"/>
          <w:szCs w:val="24"/>
        </w:rPr>
        <w:t xml:space="preserve"> </w:t>
      </w:r>
      <w:r>
        <w:rPr>
          <w:rFonts w:ascii="Times New Roman" w:hAnsi="Times New Roman" w:cs="Times New Roman"/>
          <w:szCs w:val="24"/>
        </w:rPr>
        <w:t xml:space="preserve">practices, </w:t>
      </w:r>
      <w:r>
        <w:rPr>
          <w:rFonts w:hint="eastAsia" w:ascii="Times New Roman" w:hAnsi="Times New Roman" w:cs="Times New Roman"/>
          <w:szCs w:val="24"/>
        </w:rPr>
        <w:t xml:space="preserve">thereby </w:t>
      </w:r>
      <w:r>
        <w:rPr>
          <w:rFonts w:ascii="Times New Roman" w:hAnsi="Times New Roman" w:cs="Times New Roman"/>
          <w:szCs w:val="24"/>
        </w:rPr>
        <w:t>enhancing the resilience and recovery capacity of the agricultural economy when confronted with external shocks</w:t>
      </w:r>
      <w:r>
        <w:rPr>
          <w:rFonts w:hint="eastAsia" w:ascii="Times New Roman" w:hAnsi="Times New Roman" w:cs="Times New Roman"/>
          <w:szCs w:val="24"/>
        </w:rPr>
        <w:t>. These results provide</w:t>
      </w:r>
      <w:r>
        <w:rPr>
          <w:rFonts w:ascii="Times New Roman" w:hAnsi="Times New Roman" w:cs="Times New Roman"/>
          <w:szCs w:val="24"/>
        </w:rPr>
        <w:t xml:space="preserve"> support</w:t>
      </w:r>
      <w:r>
        <w:rPr>
          <w:rFonts w:hint="eastAsia" w:ascii="Times New Roman" w:hAnsi="Times New Roman" w:cs="Times New Roman"/>
          <w:szCs w:val="24"/>
        </w:rPr>
        <w:t xml:space="preserve"> for</w:t>
      </w:r>
      <w:r>
        <w:rPr>
          <w:rFonts w:ascii="Times New Roman" w:hAnsi="Times New Roman" w:cs="Times New Roman"/>
          <w:szCs w:val="24"/>
        </w:rPr>
        <w:t xml:space="preserve"> Hypothesis 2b.</w:t>
      </w:r>
    </w:p>
    <w:p w14:paraId="58F308A7">
      <w:pPr>
        <w:pStyle w:val="56"/>
        <w:spacing w:before="240"/>
        <w:rPr>
          <w:rFonts w:eastAsia="宋体"/>
          <w:sz w:val="24"/>
          <w:szCs w:val="24"/>
        </w:rPr>
      </w:pPr>
      <w:bookmarkStart w:id="24" w:name="_Ref216098888"/>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t>6</w:t>
      </w:r>
      <w:r>
        <w:rPr>
          <w:rFonts w:hint="eastAsia"/>
        </w:rPr>
        <w:fldChar w:fldCharType="end"/>
      </w:r>
      <w:bookmarkEnd w:id="24"/>
    </w:p>
    <w:p w14:paraId="4C97228C">
      <w:pPr>
        <w:spacing w:line="480" w:lineRule="auto"/>
        <w:jc w:val="left"/>
        <w:rPr>
          <w:rFonts w:ascii="Times New Roman" w:hAnsi="Times New Roman" w:eastAsia="宋体"/>
          <w:sz w:val="18"/>
          <w:szCs w:val="18"/>
        </w:rPr>
      </w:pPr>
      <w:r>
        <w:rPr>
          <w:rFonts w:hint="eastAsia" w:ascii="Times New Roman" w:hAnsi="Times New Roman" w:eastAsia="宋体"/>
          <w:sz w:val="18"/>
          <w:szCs w:val="18"/>
        </w:rPr>
        <w:t>The regression results of m</w:t>
      </w:r>
      <w:r>
        <w:rPr>
          <w:rFonts w:ascii="Times New Roman" w:hAnsi="Times New Roman" w:eastAsia="宋体"/>
          <w:sz w:val="18"/>
          <w:szCs w:val="18"/>
        </w:rPr>
        <w:t xml:space="preserve">ediation </w:t>
      </w:r>
      <w:r>
        <w:rPr>
          <w:rFonts w:hint="eastAsia" w:ascii="Times New Roman" w:hAnsi="Times New Roman" w:eastAsia="宋体"/>
          <w:sz w:val="18"/>
          <w:szCs w:val="18"/>
        </w:rPr>
        <w:t>e</w:t>
      </w:r>
      <w:r>
        <w:rPr>
          <w:rFonts w:ascii="Times New Roman" w:hAnsi="Times New Roman" w:eastAsia="宋体"/>
          <w:sz w:val="18"/>
          <w:szCs w:val="18"/>
        </w:rPr>
        <w:t>ffects</w:t>
      </w:r>
      <w:r>
        <w:rPr>
          <w:rFonts w:hint="eastAsia" w:ascii="Times New Roman" w:hAnsi="Times New Roman" w:eastAsia="宋体"/>
          <w:sz w:val="18"/>
          <w:szCs w:val="18"/>
        </w:rPr>
        <w:t>.</w:t>
      </w:r>
    </w:p>
    <w:tbl>
      <w:tblPr>
        <w:tblStyle w:val="50"/>
        <w:tblW w:w="0" w:type="auto"/>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30"/>
        <w:gridCol w:w="2781"/>
        <w:gridCol w:w="2795"/>
      </w:tblGrid>
      <w:tr w14:paraId="2BE6BDF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0" w:type="dxa"/>
            <w:tcBorders>
              <w:top w:val="single" w:color="auto" w:sz="12" w:space="0"/>
              <w:left w:val="nil"/>
              <w:bottom w:val="single" w:color="auto" w:sz="6" w:space="0"/>
              <w:right w:val="nil"/>
              <w:insideH w:val="single" w:sz="6" w:space="0"/>
              <w:insideV w:val="nil"/>
              <w:tl2br w:val="nil"/>
              <w:tr2bl w:val="nil"/>
            </w:tcBorders>
          </w:tcPr>
          <w:p w14:paraId="5D153AD6">
            <w:pPr>
              <w:widowControl/>
              <w:snapToGrid w:val="0"/>
              <w:spacing w:line="240" w:lineRule="auto"/>
              <w:jc w:val="left"/>
              <w:rPr>
                <w:rFonts w:ascii="Times New Roman" w:hAnsi="Times New Roman" w:eastAsia="Times New Roman" w:cs="Times New Roman"/>
                <w:i/>
                <w:iCs/>
                <w:sz w:val="18"/>
                <w:szCs w:val="18"/>
              </w:rPr>
            </w:pPr>
          </w:p>
        </w:tc>
        <w:tc>
          <w:tcPr>
            <w:tcW w:w="2781" w:type="dxa"/>
            <w:tcBorders>
              <w:top w:val="single" w:color="auto" w:sz="12" w:space="0"/>
              <w:bottom w:val="single" w:color="auto" w:sz="6" w:space="0"/>
              <w:right w:val="nil"/>
              <w:insideH w:val="single" w:sz="6" w:space="0"/>
              <w:insideV w:val="nil"/>
              <w:tl2br w:val="nil"/>
              <w:tr2bl w:val="nil"/>
            </w:tcBorders>
          </w:tcPr>
          <w:p w14:paraId="127F05C0">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(1)</w:t>
            </w:r>
          </w:p>
        </w:tc>
        <w:tc>
          <w:tcPr>
            <w:tcW w:w="2795" w:type="dxa"/>
            <w:tcBorders>
              <w:top w:val="single" w:color="auto" w:sz="12" w:space="0"/>
              <w:bottom w:val="single" w:color="auto" w:sz="6" w:space="0"/>
              <w:right w:val="nil"/>
              <w:insideH w:val="single" w:sz="6" w:space="0"/>
              <w:insideV w:val="nil"/>
              <w:tl2br w:val="nil"/>
              <w:tr2bl w:val="nil"/>
            </w:tcBorders>
          </w:tcPr>
          <w:p w14:paraId="2E0C60B5">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(2)</w:t>
            </w:r>
          </w:p>
        </w:tc>
      </w:tr>
      <w:tr w14:paraId="0A81ACA3">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0" w:type="dxa"/>
          </w:tcPr>
          <w:p w14:paraId="4E11BD9C">
            <w:pPr>
              <w:widowControl/>
              <w:snapToGrid w:val="0"/>
              <w:spacing w:line="240" w:lineRule="auto"/>
              <w:jc w:val="left"/>
              <w:rPr>
                <w:rFonts w:ascii="Times New Roman" w:hAnsi="Times New Roman" w:eastAsia="Times New Roman" w:cs="Times New Roman"/>
                <w:i/>
                <w:iCs/>
                <w:sz w:val="18"/>
                <w:szCs w:val="18"/>
              </w:rPr>
            </w:pPr>
          </w:p>
        </w:tc>
        <w:tc>
          <w:tcPr>
            <w:tcW w:w="2781" w:type="dxa"/>
          </w:tcPr>
          <w:p w14:paraId="19A3FB91">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GTI</w:t>
            </w:r>
          </w:p>
        </w:tc>
        <w:tc>
          <w:tcPr>
            <w:tcW w:w="2795" w:type="dxa"/>
          </w:tcPr>
          <w:p w14:paraId="42F6A0C0">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AEA</w:t>
            </w:r>
          </w:p>
        </w:tc>
      </w:tr>
      <w:tr w14:paraId="41C2A19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0" w:type="dxa"/>
          </w:tcPr>
          <w:p w14:paraId="2BC89640">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NTU</w:t>
            </w:r>
          </w:p>
        </w:tc>
        <w:tc>
          <w:tcPr>
            <w:tcW w:w="2781" w:type="dxa"/>
          </w:tcPr>
          <w:p w14:paraId="4938CF18">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0.1359***</w:t>
            </w:r>
          </w:p>
        </w:tc>
        <w:tc>
          <w:tcPr>
            <w:tcW w:w="2795" w:type="dxa"/>
          </w:tcPr>
          <w:p w14:paraId="236DAE40">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1.9078***</w:t>
            </w:r>
          </w:p>
        </w:tc>
      </w:tr>
      <w:tr w14:paraId="53FB8F8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0" w:type="dxa"/>
          </w:tcPr>
          <w:p w14:paraId="62BF1877">
            <w:pPr>
              <w:widowControl/>
              <w:snapToGrid w:val="0"/>
              <w:spacing w:line="240" w:lineRule="auto"/>
              <w:jc w:val="left"/>
              <w:rPr>
                <w:rFonts w:ascii="Times New Roman" w:hAnsi="Times New Roman" w:eastAsia="Times New Roman" w:cs="Times New Roman"/>
                <w:i/>
                <w:iCs/>
                <w:sz w:val="18"/>
                <w:szCs w:val="18"/>
              </w:rPr>
            </w:pPr>
          </w:p>
        </w:tc>
        <w:tc>
          <w:tcPr>
            <w:tcW w:w="2781" w:type="dxa"/>
          </w:tcPr>
          <w:p w14:paraId="581A86EA">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(0.013)</w:t>
            </w:r>
          </w:p>
        </w:tc>
        <w:tc>
          <w:tcPr>
            <w:tcW w:w="2795" w:type="dxa"/>
          </w:tcPr>
          <w:p w14:paraId="0CB69840">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(0.384)</w:t>
            </w:r>
          </w:p>
        </w:tc>
      </w:tr>
      <w:tr w14:paraId="73F2BAA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0" w:type="dxa"/>
          </w:tcPr>
          <w:p w14:paraId="74BE7520">
            <w:pPr>
              <w:widowControl/>
              <w:snapToGrid w:val="0"/>
              <w:spacing w:line="240" w:lineRule="auto"/>
              <w:jc w:val="left"/>
              <w:rPr>
                <w:rFonts w:ascii="Times New Roman" w:hAnsi="Times New Roman" w:eastAsia="Times New Roman" w:cs="Times New Roman"/>
                <w:i/>
                <w:iCs/>
                <w:sz w:val="18"/>
                <w:szCs w:val="18"/>
              </w:rPr>
            </w:pPr>
            <w:r>
              <w:rPr>
                <w:rFonts w:ascii="Times New Roman" w:hAnsi="Times New Roman" w:eastAsia="Times New Roman" w:cs="Times New Roman"/>
                <w:i/>
                <w:iCs/>
                <w:sz w:val="18"/>
                <w:szCs w:val="18"/>
              </w:rPr>
              <w:t>cons</w:t>
            </w:r>
          </w:p>
        </w:tc>
        <w:tc>
          <w:tcPr>
            <w:tcW w:w="2781" w:type="dxa"/>
          </w:tcPr>
          <w:p w14:paraId="49A03E37">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-0.0179***</w:t>
            </w:r>
          </w:p>
        </w:tc>
        <w:tc>
          <w:tcPr>
            <w:tcW w:w="2795" w:type="dxa"/>
          </w:tcPr>
          <w:p w14:paraId="237FABE8">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-0.6943***</w:t>
            </w:r>
          </w:p>
        </w:tc>
      </w:tr>
      <w:tr w14:paraId="2282D4B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0" w:type="dxa"/>
          </w:tcPr>
          <w:p w14:paraId="41EF4434">
            <w:pPr>
              <w:widowControl/>
              <w:snapToGrid w:val="0"/>
              <w:spacing w:line="240" w:lineRule="auto"/>
              <w:jc w:val="left"/>
              <w:rPr>
                <w:rFonts w:ascii="Times New Roman" w:hAnsi="Times New Roman" w:eastAsia="Times New Roman" w:cs="Times New Roman"/>
                <w:i/>
                <w:iCs/>
                <w:sz w:val="18"/>
                <w:szCs w:val="18"/>
              </w:rPr>
            </w:pPr>
          </w:p>
        </w:tc>
        <w:tc>
          <w:tcPr>
            <w:tcW w:w="2781" w:type="dxa"/>
          </w:tcPr>
          <w:p w14:paraId="131846E6">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(0.006)</w:t>
            </w:r>
          </w:p>
        </w:tc>
        <w:tc>
          <w:tcPr>
            <w:tcW w:w="2795" w:type="dxa"/>
          </w:tcPr>
          <w:p w14:paraId="2564AE63">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(0.189)</w:t>
            </w:r>
          </w:p>
        </w:tc>
      </w:tr>
      <w:tr w14:paraId="0127FDC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0" w:type="dxa"/>
          </w:tcPr>
          <w:p w14:paraId="10277EFF">
            <w:pPr>
              <w:widowControl/>
              <w:snapToGrid w:val="0"/>
              <w:spacing w:line="240" w:lineRule="auto"/>
              <w:jc w:val="left"/>
              <w:rPr>
                <w:rFonts w:ascii="Times New Roman" w:hAnsi="Times New Roman" w:eastAsia="Times New Roman" w:cs="Times New Roman"/>
                <w:i/>
                <w:iCs/>
                <w:sz w:val="18"/>
                <w:szCs w:val="18"/>
              </w:rPr>
            </w:pPr>
            <w:r>
              <w:rPr>
                <w:rFonts w:hint="eastAsia" w:ascii="Times New Roman" w:hAnsi="Times New Roman" w:eastAsia="宋体" w:cs="Times New Roman"/>
                <w:i/>
                <w:iCs/>
                <w:sz w:val="18"/>
                <w:szCs w:val="18"/>
              </w:rPr>
              <w:t>Controls</w:t>
            </w:r>
          </w:p>
        </w:tc>
        <w:tc>
          <w:tcPr>
            <w:tcW w:w="2781" w:type="dxa"/>
          </w:tcPr>
          <w:p w14:paraId="563FC28B">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2795" w:type="dxa"/>
          </w:tcPr>
          <w:p w14:paraId="67173A64">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r>
      <w:tr w14:paraId="39E1FD0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0" w:type="dxa"/>
          </w:tcPr>
          <w:p w14:paraId="763E660B">
            <w:pPr>
              <w:widowControl/>
              <w:snapToGrid w:val="0"/>
              <w:spacing w:line="240" w:lineRule="auto"/>
              <w:jc w:val="left"/>
              <w:rPr>
                <w:rFonts w:ascii="Times New Roman" w:hAnsi="Times New Roman" w:eastAsia="Times New Roman" w:cs="Times New Roman"/>
                <w:i/>
                <w:iCs/>
                <w:sz w:val="18"/>
                <w:szCs w:val="18"/>
              </w:rPr>
            </w:pPr>
            <w:r>
              <w:rPr>
                <w:rFonts w:hint="eastAsia" w:ascii="Times New Roman" w:hAnsi="Times New Roman" w:eastAsia="宋体" w:cs="Times New Roman"/>
                <w:i/>
                <w:iCs/>
                <w:sz w:val="18"/>
                <w:szCs w:val="18"/>
              </w:rPr>
              <w:t>Year FE</w:t>
            </w:r>
          </w:p>
        </w:tc>
        <w:tc>
          <w:tcPr>
            <w:tcW w:w="2781" w:type="dxa"/>
          </w:tcPr>
          <w:p w14:paraId="52DDB626">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2795" w:type="dxa"/>
          </w:tcPr>
          <w:p w14:paraId="1EA1A274">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r>
      <w:tr w14:paraId="7E6817B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0" w:type="dxa"/>
          </w:tcPr>
          <w:p w14:paraId="2DB4DAEC">
            <w:pPr>
              <w:widowControl/>
              <w:snapToGrid w:val="0"/>
              <w:spacing w:line="240" w:lineRule="auto"/>
              <w:jc w:val="left"/>
              <w:rPr>
                <w:rFonts w:ascii="Times New Roman" w:hAnsi="Times New Roman" w:eastAsia="Times New Roman" w:cs="Times New Roman"/>
                <w:i/>
                <w:iCs/>
                <w:sz w:val="18"/>
                <w:szCs w:val="18"/>
              </w:rPr>
            </w:pPr>
            <w:r>
              <w:rPr>
                <w:rFonts w:hint="eastAsia" w:ascii="Times New Roman" w:hAnsi="Times New Roman" w:eastAsia="宋体" w:cs="Times New Roman"/>
                <w:i/>
                <w:iCs/>
                <w:sz w:val="18"/>
                <w:szCs w:val="18"/>
              </w:rPr>
              <w:t>Province FE</w:t>
            </w:r>
          </w:p>
        </w:tc>
        <w:tc>
          <w:tcPr>
            <w:tcW w:w="2781" w:type="dxa"/>
          </w:tcPr>
          <w:p w14:paraId="0E3F605C">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2795" w:type="dxa"/>
          </w:tcPr>
          <w:p w14:paraId="30606DFC">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r>
      <w:tr w14:paraId="5E7BBE5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0" w:type="dxa"/>
          </w:tcPr>
          <w:p w14:paraId="7A639A87">
            <w:pPr>
              <w:widowControl/>
              <w:snapToGrid w:val="0"/>
              <w:spacing w:line="240" w:lineRule="auto"/>
              <w:jc w:val="left"/>
              <w:rPr>
                <w:rFonts w:ascii="Times New Roman" w:hAnsi="Times New Roman" w:eastAsia="Times New Roman" w:cs="Times New Roman"/>
                <w:i/>
                <w:iCs/>
                <w:sz w:val="18"/>
                <w:szCs w:val="18"/>
              </w:rPr>
            </w:pPr>
            <w:r>
              <w:rPr>
                <w:rFonts w:ascii="Times New Roman" w:hAnsi="Times New Roman" w:eastAsia="Times New Roman" w:cs="Times New Roman"/>
                <w:i/>
                <w:iCs/>
                <w:sz w:val="18"/>
                <w:szCs w:val="18"/>
              </w:rPr>
              <w:t>N</w:t>
            </w:r>
          </w:p>
        </w:tc>
        <w:tc>
          <w:tcPr>
            <w:tcW w:w="2781" w:type="dxa"/>
          </w:tcPr>
          <w:p w14:paraId="5A2C2A66">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360</w:t>
            </w:r>
          </w:p>
        </w:tc>
        <w:tc>
          <w:tcPr>
            <w:tcW w:w="2795" w:type="dxa"/>
          </w:tcPr>
          <w:p w14:paraId="6B63608C">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360</w:t>
            </w:r>
          </w:p>
        </w:tc>
      </w:tr>
      <w:tr w14:paraId="17F3607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0" w:type="dxa"/>
          </w:tcPr>
          <w:p w14:paraId="4C42D804">
            <w:pPr>
              <w:widowControl/>
              <w:snapToGrid w:val="0"/>
              <w:spacing w:line="240" w:lineRule="auto"/>
              <w:jc w:val="left"/>
              <w:rPr>
                <w:rFonts w:ascii="Times New Roman" w:hAnsi="Times New Roman" w:eastAsia="Times New Roman" w:cs="Times New Roman"/>
                <w:i/>
                <w:iCs/>
                <w:sz w:val="18"/>
                <w:szCs w:val="18"/>
              </w:rPr>
            </w:pPr>
            <w:r>
              <w:rPr>
                <w:rFonts w:ascii="Times New Roman" w:hAnsi="Times New Roman" w:eastAsia="Times New Roman" w:cs="Times New Roman"/>
                <w:i/>
                <w:iCs/>
                <w:sz w:val="18"/>
                <w:szCs w:val="18"/>
              </w:rPr>
              <w:t>R</w:t>
            </w:r>
            <w:r>
              <w:rPr>
                <w:rFonts w:ascii="Times New Roman" w:hAnsi="Times New Roman" w:eastAsia="Times New Roman" w:cs="Times New Roman"/>
                <w:i/>
                <w:iCs/>
                <w:sz w:val="18"/>
                <w:szCs w:val="18"/>
                <w:vertAlign w:val="superscript"/>
              </w:rPr>
              <w:t>2</w:t>
            </w:r>
          </w:p>
        </w:tc>
        <w:tc>
          <w:tcPr>
            <w:tcW w:w="2781" w:type="dxa"/>
          </w:tcPr>
          <w:p w14:paraId="3B65F050">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0.5665</w:t>
            </w:r>
          </w:p>
        </w:tc>
        <w:tc>
          <w:tcPr>
            <w:tcW w:w="2795" w:type="dxa"/>
          </w:tcPr>
          <w:p w14:paraId="50C10541">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0.5951</w:t>
            </w:r>
          </w:p>
        </w:tc>
      </w:tr>
    </w:tbl>
    <w:p w14:paraId="732CF1A6">
      <w:pPr>
        <w:widowControl/>
        <w:rPr>
          <w:rFonts w:ascii="Times New Roman" w:hAnsi="Times New Roman" w:eastAsia="宋体" w:cs="Times New Roman"/>
          <w:sz w:val="18"/>
          <w:szCs w:val="18"/>
        </w:rPr>
      </w:pPr>
      <w:r>
        <w:rPr>
          <w:rFonts w:ascii="Times New Roman" w:hAnsi="Times New Roman" w:eastAsia="宋体" w:cs="Times New Roman"/>
          <w:sz w:val="18"/>
          <w:szCs w:val="18"/>
        </w:rPr>
        <w:t>Note: ***, ** and * denote significance levels of 1 %, 5 % and 10 %.</w:t>
      </w:r>
    </w:p>
    <w:p w14:paraId="0F899444">
      <w:pPr>
        <w:widowControl/>
        <w:rPr>
          <w:rFonts w:ascii="Times New Roman" w:hAnsi="Times New Roman" w:eastAsia="宋体" w:cs="Times New Roman"/>
          <w:sz w:val="18"/>
          <w:szCs w:val="18"/>
        </w:rPr>
      </w:pPr>
    </w:p>
    <w:p w14:paraId="1E3F6052">
      <w:pPr>
        <w:spacing w:after="120" w:afterLines="50" w:line="480" w:lineRule="auto"/>
        <w:rPr>
          <w:rFonts w:hint="eastAsia" w:ascii="Times New Roman" w:hAnsi="Times New Roman" w:cs="Times New Roman"/>
          <w:b/>
          <w:bCs/>
          <w:szCs w:val="24"/>
        </w:rPr>
      </w:pPr>
      <w:bookmarkStart w:id="25" w:name="OLE_LINK20"/>
      <w:r>
        <w:rPr>
          <w:rFonts w:hint="eastAsia" w:ascii="Times New Roman" w:hAnsi="Times New Roman" w:cs="Times New Roman"/>
          <w:b/>
          <w:bCs/>
          <w:szCs w:val="24"/>
        </w:rPr>
        <w:t>4.4. Moderating Effects</w:t>
      </w:r>
    </w:p>
    <w:p w14:paraId="005EFCBD">
      <w:pPr>
        <w:spacing w:after="120" w:afterLines="50" w:line="480" w:lineRule="auto"/>
        <w:ind w:firstLine="482"/>
        <w:rPr>
          <w:rFonts w:ascii="Times New Roman" w:hAnsi="Times New Roman" w:cs="Times New Roman"/>
          <w:szCs w:val="24"/>
        </w:rPr>
      </w:pPr>
      <w:r>
        <w:rPr>
          <w:rFonts w:ascii="Times New Roman" w:hAnsi="Times New Roman" w:cs="Times New Roman"/>
          <w:szCs w:val="24"/>
        </w:rPr>
        <w:t xml:space="preserve">As shown in Column (1) of </w:t>
      </w:r>
      <w:r>
        <w:rPr>
          <w:rFonts w:ascii="Times New Roman" w:hAnsi="Times New Roman" w:cs="Times New Roman"/>
          <w:color w:val="0070C0"/>
          <w:szCs w:val="24"/>
        </w:rPr>
        <w:fldChar w:fldCharType="begin"/>
      </w:r>
      <w:r>
        <w:rPr>
          <w:rFonts w:ascii="Times New Roman" w:hAnsi="Times New Roman" w:cs="Times New Roman"/>
          <w:color w:val="0070C0"/>
          <w:szCs w:val="24"/>
        </w:rPr>
        <w:instrText xml:space="preserve"> REF _Ref216098914 \h  \* MERGEFORMAT </w:instrText>
      </w:r>
      <w:r>
        <w:rPr>
          <w:rFonts w:ascii="Times New Roman" w:hAnsi="Times New Roman" w:cs="Times New Roman"/>
          <w:color w:val="0070C0"/>
          <w:szCs w:val="24"/>
        </w:rPr>
        <w:fldChar w:fldCharType="separate"/>
      </w:r>
      <w:r>
        <w:rPr>
          <w:rFonts w:hint="eastAsia" w:ascii="Times New Roman" w:hAnsi="Times New Roman" w:cs="Times New Roman"/>
          <w:color w:val="0070C0"/>
          <w:szCs w:val="24"/>
        </w:rPr>
        <w:t xml:space="preserve">Table </w:t>
      </w:r>
      <w:r>
        <w:rPr>
          <w:rFonts w:ascii="Times New Roman" w:hAnsi="Times New Roman" w:cs="Times New Roman"/>
          <w:color w:val="0070C0"/>
          <w:szCs w:val="24"/>
        </w:rPr>
        <w:t>7</w:t>
      </w:r>
      <w:r>
        <w:rPr>
          <w:rFonts w:ascii="Times New Roman" w:hAnsi="Times New Roman" w:cs="Times New Roman"/>
          <w:color w:val="0070C0"/>
          <w:szCs w:val="24"/>
        </w:rPr>
        <w:fldChar w:fldCharType="end"/>
      </w:r>
      <w:r>
        <w:rPr>
          <w:rFonts w:ascii="Times New Roman" w:hAnsi="Times New Roman" w:cs="Times New Roman"/>
          <w:szCs w:val="24"/>
        </w:rPr>
        <w:t>,</w:t>
      </w:r>
      <w:r>
        <w:rPr>
          <w:rFonts w:hint="eastAsia" w:ascii="Times New Roman" w:hAnsi="Times New Roman" w:cs="Times New Roman"/>
          <w:szCs w:val="24"/>
        </w:rPr>
        <w:t xml:space="preserve"> the </w:t>
      </w:r>
      <w:r>
        <w:rPr>
          <w:rFonts w:ascii="Times New Roman" w:hAnsi="Times New Roman" w:cs="Times New Roman"/>
          <w:szCs w:val="24"/>
        </w:rPr>
        <w:t>coefficient of</w:t>
      </w:r>
      <w:r>
        <w:rPr>
          <w:rFonts w:hint="eastAsia" w:ascii="Times New Roman" w:hAnsi="Times New Roman" w:cs="Times New Roman"/>
          <w:szCs w:val="24"/>
        </w:rPr>
        <w:t xml:space="preserve"> </w:t>
      </w:r>
      <w:r>
        <w:rPr>
          <w:rFonts w:ascii="Times New Roman" w:hAnsi="Times New Roman" w:cs="Times New Roman"/>
          <w:szCs w:val="24"/>
        </w:rPr>
        <w:t xml:space="preserve">the interaction term NTU*GFI </w:t>
      </w:r>
      <w:r>
        <w:rPr>
          <w:rFonts w:hint="eastAsia" w:ascii="Times New Roman" w:hAnsi="Times New Roman" w:cs="Times New Roman"/>
          <w:szCs w:val="24"/>
        </w:rPr>
        <w:t>is</w:t>
      </w:r>
      <w:r>
        <w:rPr>
          <w:rFonts w:ascii="Times New Roman" w:hAnsi="Times New Roman" w:cs="Times New Roman"/>
          <w:szCs w:val="24"/>
        </w:rPr>
        <w:t xml:space="preserve"> 0.2794</w:t>
      </w:r>
      <w:r>
        <w:rPr>
          <w:rFonts w:hint="eastAsia" w:ascii="Times New Roman" w:hAnsi="Times New Roman" w:cs="Times New Roman"/>
          <w:szCs w:val="24"/>
        </w:rPr>
        <w:t xml:space="preserve"> and </w:t>
      </w:r>
      <w:r>
        <w:rPr>
          <w:rFonts w:ascii="Times New Roman" w:hAnsi="Times New Roman" w:cs="Times New Roman"/>
          <w:szCs w:val="24"/>
        </w:rPr>
        <w:t>significant at the 5% level, indicating that GFI strengthens the positive effect of NTU on the stable development of the agricultural economy, thereby supporting Hypothesis 3a. This effect can be attributed to the fact that</w:t>
      </w:r>
      <w:r>
        <w:rPr>
          <w:rFonts w:hint="eastAsia" w:ascii="Times New Roman" w:hAnsi="Times New Roman" w:cs="Times New Roman"/>
          <w:szCs w:val="24"/>
        </w:rPr>
        <w:t xml:space="preserve"> </w:t>
      </w:r>
      <w:r>
        <w:rPr>
          <w:rFonts w:ascii="Times New Roman" w:hAnsi="Times New Roman" w:cs="Times New Roman"/>
          <w:szCs w:val="24"/>
        </w:rPr>
        <w:t xml:space="preserve">GFI reinforces the positive influence of NTU on AER by channeling capital toward environmentally sustainable agricultural projects, thereby improving the efficiency of resource and technology use promoted under the NTU framework. In addition, GFI offers risk protection that strengthens the sector’s ability to respond to natural disasters, market volatility, and economic crises, </w:t>
      </w:r>
      <w:r>
        <w:rPr>
          <w:rFonts w:hint="eastAsia" w:ascii="Times New Roman" w:hAnsi="Times New Roman" w:cs="Times New Roman"/>
          <w:szCs w:val="24"/>
        </w:rPr>
        <w:t xml:space="preserve">thus </w:t>
      </w:r>
      <w:r>
        <w:rPr>
          <w:rFonts w:ascii="Times New Roman" w:hAnsi="Times New Roman" w:cs="Times New Roman"/>
          <w:szCs w:val="24"/>
        </w:rPr>
        <w:t>further enhancing</w:t>
      </w:r>
      <w:r>
        <w:rPr>
          <w:rFonts w:hint="eastAsia" w:ascii="Times New Roman" w:hAnsi="Times New Roman" w:cs="Times New Roman"/>
          <w:szCs w:val="24"/>
        </w:rPr>
        <w:t xml:space="preserve"> </w:t>
      </w:r>
      <w:r>
        <w:rPr>
          <w:rFonts w:ascii="Times New Roman" w:hAnsi="Times New Roman" w:cs="Times New Roman"/>
          <w:szCs w:val="24"/>
        </w:rPr>
        <w:t>AER.</w:t>
      </w:r>
    </w:p>
    <w:p w14:paraId="285DFA09">
      <w:pPr>
        <w:spacing w:after="120" w:afterLines="50" w:line="480" w:lineRule="auto"/>
        <w:ind w:firstLine="482"/>
        <w:rPr>
          <w:rFonts w:ascii="Times New Roman" w:hAnsi="Times New Roman" w:cs="Times New Roman"/>
          <w:szCs w:val="24"/>
        </w:rPr>
      </w:pPr>
      <w:r>
        <w:rPr>
          <w:rFonts w:ascii="Times New Roman" w:hAnsi="Times New Roman" w:cs="Times New Roman"/>
          <w:szCs w:val="24"/>
        </w:rPr>
        <w:t xml:space="preserve">Column (2) of </w:t>
      </w:r>
      <w:r>
        <w:rPr>
          <w:rFonts w:ascii="Times New Roman" w:hAnsi="Times New Roman" w:cs="Times New Roman"/>
          <w:color w:val="0070C0"/>
          <w:szCs w:val="24"/>
        </w:rPr>
        <w:fldChar w:fldCharType="begin"/>
      </w:r>
      <w:r>
        <w:rPr>
          <w:rFonts w:ascii="Times New Roman" w:hAnsi="Times New Roman" w:cs="Times New Roman"/>
          <w:color w:val="0070C0"/>
          <w:szCs w:val="24"/>
        </w:rPr>
        <w:instrText xml:space="preserve"> REF _Ref216098914 \h  \* MERGEFORMAT </w:instrText>
      </w:r>
      <w:r>
        <w:rPr>
          <w:rFonts w:ascii="Times New Roman" w:hAnsi="Times New Roman" w:cs="Times New Roman"/>
          <w:color w:val="0070C0"/>
          <w:szCs w:val="24"/>
        </w:rPr>
        <w:fldChar w:fldCharType="separate"/>
      </w:r>
      <w:r>
        <w:rPr>
          <w:rFonts w:hint="eastAsia" w:ascii="Times New Roman" w:hAnsi="Times New Roman" w:cs="Times New Roman"/>
          <w:color w:val="0070C0"/>
          <w:szCs w:val="24"/>
        </w:rPr>
        <w:t xml:space="preserve">Table </w:t>
      </w:r>
      <w:r>
        <w:rPr>
          <w:rFonts w:ascii="Times New Roman" w:hAnsi="Times New Roman" w:cs="Times New Roman"/>
          <w:color w:val="0070C0"/>
          <w:szCs w:val="24"/>
        </w:rPr>
        <w:t>7</w:t>
      </w:r>
      <w:r>
        <w:rPr>
          <w:rFonts w:ascii="Times New Roman" w:hAnsi="Times New Roman" w:cs="Times New Roman"/>
          <w:color w:val="0070C0"/>
          <w:szCs w:val="24"/>
        </w:rPr>
        <w:fldChar w:fldCharType="end"/>
      </w:r>
      <w:r>
        <w:rPr>
          <w:rFonts w:ascii="Times New Roman" w:hAnsi="Times New Roman" w:cs="Times New Roman"/>
          <w:szCs w:val="24"/>
        </w:rPr>
        <w:t xml:space="preserve"> shows that the interaction term NTU*APR has a regression coefficient of 0.0758, significant at the 10% level, </w:t>
      </w:r>
      <w:r>
        <w:rPr>
          <w:rFonts w:hint="eastAsia" w:ascii="Times New Roman" w:hAnsi="Times New Roman" w:cs="Times New Roman"/>
          <w:szCs w:val="24"/>
        </w:rPr>
        <w:t>confirm</w:t>
      </w:r>
      <w:r>
        <w:rPr>
          <w:rFonts w:ascii="Times New Roman" w:hAnsi="Times New Roman" w:cs="Times New Roman"/>
          <w:szCs w:val="24"/>
        </w:rPr>
        <w:t xml:space="preserve">ing that </w:t>
      </w:r>
      <w:r>
        <w:rPr>
          <w:rFonts w:hint="eastAsia" w:ascii="Times New Roman" w:hAnsi="Times New Roman" w:cs="Times New Roman"/>
          <w:szCs w:val="24"/>
        </w:rPr>
        <w:t xml:space="preserve">the </w:t>
      </w:r>
      <w:r>
        <w:rPr>
          <w:rFonts w:ascii="Times New Roman" w:hAnsi="Times New Roman" w:cs="Times New Roman"/>
          <w:szCs w:val="24"/>
        </w:rPr>
        <w:t>APR</w:t>
      </w:r>
      <w:r>
        <w:rPr>
          <w:rFonts w:hint="eastAsia" w:ascii="Times New Roman" w:hAnsi="Times New Roman" w:cs="Times New Roman"/>
          <w:szCs w:val="24"/>
        </w:rPr>
        <w:t xml:space="preserve"> </w:t>
      </w:r>
      <w:r>
        <w:rPr>
          <w:rFonts w:ascii="Times New Roman" w:hAnsi="Times New Roman" w:cs="Times New Roman"/>
          <w:szCs w:val="24"/>
        </w:rPr>
        <w:t>also serves as a positive moderator</w:t>
      </w:r>
      <w:r>
        <w:rPr>
          <w:rFonts w:hint="eastAsia" w:ascii="Times New Roman" w:hAnsi="Times New Roman" w:cs="Times New Roman"/>
          <w:szCs w:val="24"/>
        </w:rPr>
        <w:t xml:space="preserve"> in the </w:t>
      </w:r>
      <w:r>
        <w:rPr>
          <w:rFonts w:ascii="Times New Roman" w:hAnsi="Times New Roman" w:cs="Times New Roman"/>
          <w:szCs w:val="24"/>
        </w:rPr>
        <w:t xml:space="preserve">NTU </w:t>
      </w:r>
      <w:r>
        <w:rPr>
          <w:rFonts w:hint="eastAsia" w:ascii="Times New Roman" w:hAnsi="Times New Roman" w:cs="Times New Roman"/>
          <w:szCs w:val="24"/>
        </w:rPr>
        <w:t>and</w:t>
      </w:r>
      <w:r>
        <w:rPr>
          <w:rFonts w:ascii="Times New Roman" w:hAnsi="Times New Roman" w:cs="Times New Roman"/>
          <w:szCs w:val="24"/>
        </w:rPr>
        <w:t xml:space="preserve"> AER</w:t>
      </w:r>
      <w:r>
        <w:rPr>
          <w:rFonts w:hint="eastAsia" w:ascii="Times New Roman" w:hAnsi="Times New Roman" w:cs="Times New Roman"/>
          <w:szCs w:val="24"/>
        </w:rPr>
        <w:t xml:space="preserve"> relationship</w:t>
      </w:r>
      <w:r>
        <w:rPr>
          <w:rFonts w:ascii="Times New Roman" w:hAnsi="Times New Roman" w:cs="Times New Roman"/>
          <w:szCs w:val="24"/>
        </w:rPr>
        <w:t xml:space="preserve">, in line with Hypothesis 3b. Elevated payout rates enhance the protective function of agricultural insurance, offering an effective risk buffer for agricultural actors during urbanization. This mechanism strengthens their ability to leverage NTU-driven resources and enhances the capacity to withstand and recover from external shocks, thereby improving overall </w:t>
      </w:r>
      <w:r>
        <w:rPr>
          <w:rFonts w:hint="eastAsia" w:ascii="Times New Roman" w:hAnsi="Times New Roman" w:cs="Times New Roman"/>
          <w:szCs w:val="24"/>
          <w:lang w:val="en-US" w:eastAsia="zh-CN"/>
        </w:rPr>
        <w:t>AER</w:t>
      </w:r>
      <w:r>
        <w:rPr>
          <w:rFonts w:ascii="Times New Roman" w:hAnsi="Times New Roman" w:cs="Times New Roman"/>
          <w:szCs w:val="24"/>
        </w:rPr>
        <w:t>.</w:t>
      </w:r>
      <w:bookmarkEnd w:id="25"/>
    </w:p>
    <w:p w14:paraId="10CBFB73">
      <w:pPr>
        <w:pStyle w:val="56"/>
        <w:spacing w:before="240"/>
        <w:rPr>
          <w:rFonts w:eastAsia="宋体"/>
          <w:sz w:val="24"/>
          <w:szCs w:val="24"/>
        </w:rPr>
      </w:pPr>
      <w:bookmarkStart w:id="26" w:name="_Ref216098914"/>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t>7</w:t>
      </w:r>
      <w:r>
        <w:rPr>
          <w:rFonts w:hint="eastAsia"/>
        </w:rPr>
        <w:fldChar w:fldCharType="end"/>
      </w:r>
      <w:bookmarkEnd w:id="26"/>
    </w:p>
    <w:p w14:paraId="25568D5D">
      <w:pPr>
        <w:spacing w:line="480" w:lineRule="auto"/>
        <w:jc w:val="left"/>
        <w:rPr>
          <w:rFonts w:ascii="Times New Roman" w:hAnsi="Times New Roman" w:eastAsia="宋体"/>
          <w:sz w:val="18"/>
          <w:szCs w:val="18"/>
        </w:rPr>
      </w:pPr>
      <w:r>
        <w:rPr>
          <w:rFonts w:hint="eastAsia" w:ascii="Times New Roman" w:hAnsi="Times New Roman" w:eastAsia="宋体"/>
          <w:sz w:val="18"/>
          <w:szCs w:val="18"/>
        </w:rPr>
        <w:t>The regression results of m</w:t>
      </w:r>
      <w:r>
        <w:rPr>
          <w:rFonts w:ascii="Times New Roman" w:hAnsi="Times New Roman" w:eastAsia="宋体"/>
          <w:sz w:val="18"/>
          <w:szCs w:val="18"/>
        </w:rPr>
        <w:t xml:space="preserve">oderating </w:t>
      </w:r>
      <w:r>
        <w:rPr>
          <w:rFonts w:hint="eastAsia" w:ascii="Times New Roman" w:hAnsi="Times New Roman" w:eastAsia="宋体"/>
          <w:sz w:val="18"/>
          <w:szCs w:val="18"/>
        </w:rPr>
        <w:t>e</w:t>
      </w:r>
      <w:r>
        <w:rPr>
          <w:rFonts w:ascii="Times New Roman" w:hAnsi="Times New Roman" w:eastAsia="宋体"/>
          <w:sz w:val="18"/>
          <w:szCs w:val="18"/>
        </w:rPr>
        <w:t>ffects</w:t>
      </w:r>
      <w:r>
        <w:rPr>
          <w:rFonts w:hint="eastAsia" w:ascii="Times New Roman" w:hAnsi="Times New Roman" w:eastAsia="宋体"/>
          <w:sz w:val="18"/>
          <w:szCs w:val="18"/>
        </w:rPr>
        <w:t>.</w:t>
      </w:r>
    </w:p>
    <w:tbl>
      <w:tblPr>
        <w:tblStyle w:val="50"/>
        <w:tblW w:w="0" w:type="auto"/>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34"/>
        <w:gridCol w:w="2786"/>
        <w:gridCol w:w="2786"/>
      </w:tblGrid>
      <w:tr w14:paraId="2570CD8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Borders>
              <w:top w:val="single" w:color="auto" w:sz="12" w:space="0"/>
              <w:left w:val="nil"/>
              <w:bottom w:val="single" w:color="auto" w:sz="6" w:space="0"/>
              <w:right w:val="nil"/>
              <w:insideH w:val="single" w:sz="6" w:space="0"/>
              <w:insideV w:val="nil"/>
              <w:tl2br w:val="nil"/>
              <w:tr2bl w:val="nil"/>
            </w:tcBorders>
          </w:tcPr>
          <w:p w14:paraId="0479ECC0">
            <w:pPr>
              <w:widowControl/>
              <w:snapToGrid w:val="0"/>
              <w:spacing w:line="240" w:lineRule="auto"/>
              <w:jc w:val="left"/>
              <w:rPr>
                <w:rFonts w:ascii="Times New Roman" w:hAnsi="Times New Roman" w:eastAsia="Times New Roman" w:cs="Times New Roman"/>
                <w:i/>
                <w:iCs/>
                <w:sz w:val="18"/>
                <w:szCs w:val="18"/>
              </w:rPr>
            </w:pPr>
          </w:p>
        </w:tc>
        <w:tc>
          <w:tcPr>
            <w:tcW w:w="2786" w:type="dxa"/>
            <w:tcBorders>
              <w:top w:val="single" w:color="auto" w:sz="12" w:space="0"/>
              <w:bottom w:val="single" w:color="auto" w:sz="6" w:space="0"/>
              <w:right w:val="nil"/>
              <w:insideH w:val="single" w:sz="6" w:space="0"/>
              <w:insideV w:val="nil"/>
              <w:tl2br w:val="nil"/>
              <w:tr2bl w:val="nil"/>
            </w:tcBorders>
          </w:tcPr>
          <w:p w14:paraId="547C2B8F">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(1)</w:t>
            </w:r>
          </w:p>
        </w:tc>
        <w:tc>
          <w:tcPr>
            <w:tcW w:w="2786" w:type="dxa"/>
            <w:tcBorders>
              <w:top w:val="single" w:color="auto" w:sz="12" w:space="0"/>
              <w:bottom w:val="single" w:color="auto" w:sz="6" w:space="0"/>
              <w:right w:val="nil"/>
              <w:insideH w:val="single" w:sz="6" w:space="0"/>
              <w:insideV w:val="nil"/>
              <w:tl2br w:val="nil"/>
              <w:tr2bl w:val="nil"/>
            </w:tcBorders>
          </w:tcPr>
          <w:p w14:paraId="3A9FF46D">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(2)</w:t>
            </w:r>
          </w:p>
        </w:tc>
      </w:tr>
      <w:tr w14:paraId="30E646C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73892B93">
            <w:pPr>
              <w:widowControl/>
              <w:snapToGrid w:val="0"/>
              <w:spacing w:line="240" w:lineRule="auto"/>
              <w:jc w:val="left"/>
              <w:rPr>
                <w:rFonts w:ascii="Times New Roman" w:hAnsi="Times New Roman" w:eastAsia="Times New Roman" w:cs="Times New Roman"/>
                <w:i/>
                <w:iCs/>
                <w:sz w:val="18"/>
                <w:szCs w:val="18"/>
              </w:rPr>
            </w:pPr>
          </w:p>
        </w:tc>
        <w:tc>
          <w:tcPr>
            <w:tcW w:w="2786" w:type="dxa"/>
          </w:tcPr>
          <w:p w14:paraId="70599272">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AER</w:t>
            </w:r>
          </w:p>
        </w:tc>
        <w:tc>
          <w:tcPr>
            <w:tcW w:w="2786" w:type="dxa"/>
          </w:tcPr>
          <w:p w14:paraId="37541CEB">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AER</w:t>
            </w:r>
          </w:p>
        </w:tc>
      </w:tr>
      <w:tr w14:paraId="5118B10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0D3701BD">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NTU</w:t>
            </w:r>
          </w:p>
        </w:tc>
        <w:tc>
          <w:tcPr>
            <w:tcW w:w="2786" w:type="dxa"/>
          </w:tcPr>
          <w:p w14:paraId="124A6C48">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0.3896***</w:t>
            </w:r>
          </w:p>
        </w:tc>
        <w:tc>
          <w:tcPr>
            <w:tcW w:w="2786" w:type="dxa"/>
          </w:tcPr>
          <w:p w14:paraId="4C28B79C">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0.4469***</w:t>
            </w:r>
          </w:p>
        </w:tc>
      </w:tr>
      <w:tr w14:paraId="72B5B98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3B4BBC06">
            <w:pPr>
              <w:widowControl/>
              <w:snapToGrid w:val="0"/>
              <w:spacing w:line="240" w:lineRule="auto"/>
              <w:jc w:val="left"/>
              <w:rPr>
                <w:rFonts w:ascii="Times New Roman" w:hAnsi="Times New Roman" w:eastAsia="Times New Roman" w:cs="Times New Roman"/>
                <w:i/>
                <w:iCs/>
                <w:sz w:val="18"/>
                <w:szCs w:val="18"/>
              </w:rPr>
            </w:pPr>
          </w:p>
        </w:tc>
        <w:tc>
          <w:tcPr>
            <w:tcW w:w="2786" w:type="dxa"/>
          </w:tcPr>
          <w:p w14:paraId="6378F64A">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(0.063)</w:t>
            </w:r>
          </w:p>
        </w:tc>
        <w:tc>
          <w:tcPr>
            <w:tcW w:w="2786" w:type="dxa"/>
          </w:tcPr>
          <w:p w14:paraId="328D52FE">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(0.057)</w:t>
            </w:r>
          </w:p>
        </w:tc>
      </w:tr>
      <w:tr w14:paraId="660D6BB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409A84E5">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NTU*GFI</w:t>
            </w:r>
          </w:p>
        </w:tc>
        <w:tc>
          <w:tcPr>
            <w:tcW w:w="2786" w:type="dxa"/>
          </w:tcPr>
          <w:p w14:paraId="02E928ED">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0.2794**</w:t>
            </w:r>
          </w:p>
        </w:tc>
        <w:tc>
          <w:tcPr>
            <w:tcW w:w="2786" w:type="dxa"/>
          </w:tcPr>
          <w:p w14:paraId="45D3B682">
            <w:pPr>
              <w:widowControl/>
              <w:snapToGrid w:val="0"/>
              <w:spacing w:line="240" w:lineRule="auto"/>
              <w:jc w:val="left"/>
              <w:rPr>
                <w:rFonts w:ascii="Times New Roman" w:hAnsi="Times New Roman" w:eastAsia="Times New Roman" w:cs="Times New Roman"/>
                <w:sz w:val="18"/>
                <w:szCs w:val="18"/>
              </w:rPr>
            </w:pPr>
          </w:p>
        </w:tc>
      </w:tr>
      <w:tr w14:paraId="482CD2AA">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2BEA8887">
            <w:pPr>
              <w:widowControl/>
              <w:snapToGrid w:val="0"/>
              <w:spacing w:line="240" w:lineRule="auto"/>
              <w:jc w:val="left"/>
              <w:rPr>
                <w:rFonts w:ascii="Times New Roman" w:hAnsi="Times New Roman" w:eastAsia="Times New Roman" w:cs="Times New Roman"/>
                <w:i/>
                <w:iCs/>
                <w:sz w:val="18"/>
                <w:szCs w:val="18"/>
              </w:rPr>
            </w:pPr>
          </w:p>
        </w:tc>
        <w:tc>
          <w:tcPr>
            <w:tcW w:w="2786" w:type="dxa"/>
          </w:tcPr>
          <w:p w14:paraId="5F84613B">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(0.123)</w:t>
            </w:r>
          </w:p>
        </w:tc>
        <w:tc>
          <w:tcPr>
            <w:tcW w:w="2786" w:type="dxa"/>
          </w:tcPr>
          <w:p w14:paraId="74930B7E">
            <w:pPr>
              <w:widowControl/>
              <w:snapToGrid w:val="0"/>
              <w:spacing w:line="240" w:lineRule="auto"/>
              <w:jc w:val="left"/>
              <w:rPr>
                <w:rFonts w:ascii="Times New Roman" w:hAnsi="Times New Roman" w:eastAsia="Times New Roman" w:cs="Times New Roman"/>
                <w:sz w:val="18"/>
                <w:szCs w:val="18"/>
              </w:rPr>
            </w:pPr>
          </w:p>
        </w:tc>
      </w:tr>
      <w:tr w14:paraId="35C1A11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7A9AA131">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GFI</w:t>
            </w:r>
          </w:p>
        </w:tc>
        <w:tc>
          <w:tcPr>
            <w:tcW w:w="2786" w:type="dxa"/>
          </w:tcPr>
          <w:p w14:paraId="1926C20D">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-0.0218</w:t>
            </w:r>
          </w:p>
        </w:tc>
        <w:tc>
          <w:tcPr>
            <w:tcW w:w="2786" w:type="dxa"/>
          </w:tcPr>
          <w:p w14:paraId="7EEF19E7">
            <w:pPr>
              <w:widowControl/>
              <w:snapToGrid w:val="0"/>
              <w:spacing w:line="240" w:lineRule="auto"/>
              <w:jc w:val="left"/>
              <w:rPr>
                <w:rFonts w:ascii="Times New Roman" w:hAnsi="Times New Roman" w:eastAsia="Times New Roman" w:cs="Times New Roman"/>
                <w:sz w:val="18"/>
                <w:szCs w:val="18"/>
              </w:rPr>
            </w:pPr>
          </w:p>
        </w:tc>
      </w:tr>
      <w:tr w14:paraId="1716E49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604CBD40">
            <w:pPr>
              <w:widowControl/>
              <w:snapToGrid w:val="0"/>
              <w:spacing w:line="240" w:lineRule="auto"/>
              <w:jc w:val="left"/>
              <w:rPr>
                <w:rFonts w:ascii="Times New Roman" w:hAnsi="Times New Roman" w:eastAsia="Times New Roman" w:cs="Times New Roman"/>
                <w:i/>
                <w:iCs/>
                <w:sz w:val="18"/>
                <w:szCs w:val="18"/>
              </w:rPr>
            </w:pPr>
          </w:p>
        </w:tc>
        <w:tc>
          <w:tcPr>
            <w:tcW w:w="2786" w:type="dxa"/>
          </w:tcPr>
          <w:p w14:paraId="7B05234D">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(0.044)</w:t>
            </w:r>
          </w:p>
        </w:tc>
        <w:tc>
          <w:tcPr>
            <w:tcW w:w="2786" w:type="dxa"/>
          </w:tcPr>
          <w:p w14:paraId="0F284620">
            <w:pPr>
              <w:widowControl/>
              <w:snapToGrid w:val="0"/>
              <w:spacing w:line="240" w:lineRule="auto"/>
              <w:jc w:val="left"/>
              <w:rPr>
                <w:rFonts w:ascii="Times New Roman" w:hAnsi="Times New Roman" w:eastAsia="Times New Roman" w:cs="Times New Roman"/>
                <w:sz w:val="18"/>
                <w:szCs w:val="18"/>
              </w:rPr>
            </w:pPr>
          </w:p>
        </w:tc>
      </w:tr>
      <w:tr w14:paraId="60116ED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644B1EDC">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NTU*APR</w:t>
            </w:r>
          </w:p>
        </w:tc>
        <w:tc>
          <w:tcPr>
            <w:tcW w:w="2786" w:type="dxa"/>
          </w:tcPr>
          <w:p w14:paraId="30EBC0C1">
            <w:pPr>
              <w:widowControl/>
              <w:snapToGrid w:val="0"/>
              <w:spacing w:line="240" w:lineRule="auto"/>
              <w:jc w:val="left"/>
              <w:rPr>
                <w:rFonts w:ascii="Times New Roman" w:hAnsi="Times New Roman" w:eastAsia="Times New Roman" w:cs="Times New Roman"/>
                <w:sz w:val="18"/>
                <w:szCs w:val="18"/>
              </w:rPr>
            </w:pPr>
          </w:p>
        </w:tc>
        <w:tc>
          <w:tcPr>
            <w:tcW w:w="2786" w:type="dxa"/>
          </w:tcPr>
          <w:p w14:paraId="5F4E75FE">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0.0758*</w:t>
            </w:r>
          </w:p>
        </w:tc>
      </w:tr>
      <w:tr w14:paraId="062F7CD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17D6C2BE">
            <w:pPr>
              <w:widowControl/>
              <w:snapToGrid w:val="0"/>
              <w:spacing w:line="240" w:lineRule="auto"/>
              <w:jc w:val="left"/>
              <w:rPr>
                <w:rFonts w:ascii="Times New Roman" w:hAnsi="Times New Roman" w:eastAsia="Times New Roman" w:cs="Times New Roman"/>
                <w:i/>
                <w:iCs/>
                <w:sz w:val="18"/>
                <w:szCs w:val="18"/>
              </w:rPr>
            </w:pPr>
          </w:p>
        </w:tc>
        <w:tc>
          <w:tcPr>
            <w:tcW w:w="2786" w:type="dxa"/>
          </w:tcPr>
          <w:p w14:paraId="24F9BE2E">
            <w:pPr>
              <w:widowControl/>
              <w:snapToGrid w:val="0"/>
              <w:spacing w:line="240" w:lineRule="auto"/>
              <w:jc w:val="left"/>
              <w:rPr>
                <w:rFonts w:ascii="Times New Roman" w:hAnsi="Times New Roman" w:eastAsia="Times New Roman" w:cs="Times New Roman"/>
                <w:sz w:val="18"/>
                <w:szCs w:val="18"/>
              </w:rPr>
            </w:pPr>
          </w:p>
        </w:tc>
        <w:tc>
          <w:tcPr>
            <w:tcW w:w="2786" w:type="dxa"/>
          </w:tcPr>
          <w:p w14:paraId="1C01A54F">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(0.046)</w:t>
            </w:r>
          </w:p>
        </w:tc>
      </w:tr>
      <w:tr w14:paraId="0D997B8F">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66D47C2C">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APR</w:t>
            </w:r>
          </w:p>
        </w:tc>
        <w:tc>
          <w:tcPr>
            <w:tcW w:w="2786" w:type="dxa"/>
          </w:tcPr>
          <w:p w14:paraId="00AC95CE">
            <w:pPr>
              <w:widowControl/>
              <w:snapToGrid w:val="0"/>
              <w:spacing w:line="240" w:lineRule="auto"/>
              <w:jc w:val="left"/>
              <w:rPr>
                <w:rFonts w:ascii="Times New Roman" w:hAnsi="Times New Roman" w:eastAsia="Times New Roman" w:cs="Times New Roman"/>
                <w:sz w:val="18"/>
                <w:szCs w:val="18"/>
              </w:rPr>
            </w:pPr>
          </w:p>
        </w:tc>
        <w:tc>
          <w:tcPr>
            <w:tcW w:w="2786" w:type="dxa"/>
          </w:tcPr>
          <w:p w14:paraId="77FBAFF0">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-0.0181</w:t>
            </w:r>
          </w:p>
        </w:tc>
      </w:tr>
      <w:tr w14:paraId="3EAA82B5">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5425D538">
            <w:pPr>
              <w:widowControl/>
              <w:snapToGrid w:val="0"/>
              <w:spacing w:line="240" w:lineRule="auto"/>
              <w:jc w:val="left"/>
              <w:rPr>
                <w:rFonts w:ascii="Times New Roman" w:hAnsi="Times New Roman" w:eastAsia="Times New Roman" w:cs="Times New Roman"/>
                <w:i/>
                <w:iCs/>
                <w:sz w:val="18"/>
                <w:szCs w:val="18"/>
              </w:rPr>
            </w:pPr>
          </w:p>
        </w:tc>
        <w:tc>
          <w:tcPr>
            <w:tcW w:w="2786" w:type="dxa"/>
          </w:tcPr>
          <w:p w14:paraId="4A71AEFE">
            <w:pPr>
              <w:widowControl/>
              <w:snapToGrid w:val="0"/>
              <w:spacing w:line="240" w:lineRule="auto"/>
              <w:jc w:val="left"/>
              <w:rPr>
                <w:rFonts w:ascii="Times New Roman" w:hAnsi="Times New Roman" w:eastAsia="Times New Roman" w:cs="Times New Roman"/>
                <w:sz w:val="18"/>
                <w:szCs w:val="18"/>
              </w:rPr>
            </w:pPr>
          </w:p>
        </w:tc>
        <w:tc>
          <w:tcPr>
            <w:tcW w:w="2786" w:type="dxa"/>
          </w:tcPr>
          <w:p w14:paraId="06532476">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(0.013)</w:t>
            </w:r>
          </w:p>
        </w:tc>
      </w:tr>
      <w:tr w14:paraId="5BC72480">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2E652A4E">
            <w:pPr>
              <w:widowControl/>
              <w:snapToGrid w:val="0"/>
              <w:spacing w:line="240" w:lineRule="auto"/>
              <w:jc w:val="left"/>
              <w:rPr>
                <w:rFonts w:ascii="Times New Roman" w:hAnsi="Times New Roman" w:eastAsia="Times New Roman" w:cs="Times New Roman"/>
                <w:i/>
                <w:iCs/>
                <w:sz w:val="18"/>
                <w:szCs w:val="18"/>
              </w:rPr>
            </w:pPr>
            <w:r>
              <w:rPr>
                <w:rFonts w:ascii="Times New Roman" w:hAnsi="Times New Roman" w:eastAsia="Times New Roman" w:cs="Times New Roman"/>
                <w:i/>
                <w:iCs/>
                <w:sz w:val="18"/>
                <w:szCs w:val="18"/>
              </w:rPr>
              <w:t>cons</w:t>
            </w:r>
          </w:p>
        </w:tc>
        <w:tc>
          <w:tcPr>
            <w:tcW w:w="2786" w:type="dxa"/>
          </w:tcPr>
          <w:p w14:paraId="7A14AFEC">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0.0160</w:t>
            </w:r>
          </w:p>
        </w:tc>
        <w:tc>
          <w:tcPr>
            <w:tcW w:w="2786" w:type="dxa"/>
          </w:tcPr>
          <w:p w14:paraId="06ADFCC7">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-0.0051</w:t>
            </w:r>
          </w:p>
        </w:tc>
      </w:tr>
      <w:tr w14:paraId="32327CC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01D023E9">
            <w:pPr>
              <w:widowControl/>
              <w:snapToGrid w:val="0"/>
              <w:spacing w:line="240" w:lineRule="auto"/>
              <w:jc w:val="left"/>
              <w:rPr>
                <w:rFonts w:ascii="Times New Roman" w:hAnsi="Times New Roman" w:eastAsia="Times New Roman" w:cs="Times New Roman"/>
                <w:i/>
                <w:iCs/>
                <w:sz w:val="18"/>
                <w:szCs w:val="18"/>
              </w:rPr>
            </w:pPr>
          </w:p>
        </w:tc>
        <w:tc>
          <w:tcPr>
            <w:tcW w:w="2786" w:type="dxa"/>
          </w:tcPr>
          <w:p w14:paraId="28FE5A38">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(0.024)</w:t>
            </w:r>
          </w:p>
        </w:tc>
        <w:tc>
          <w:tcPr>
            <w:tcW w:w="2786" w:type="dxa"/>
          </w:tcPr>
          <w:p w14:paraId="40D7CF24">
            <w:pPr>
              <w:widowControl/>
              <w:snapToGrid w:val="0"/>
              <w:spacing w:line="240" w:lineRule="auto"/>
              <w:jc w:val="left"/>
              <w:rPr>
                <w:rFonts w:ascii="Times New Roman" w:hAnsi="Times New Roman" w:eastAsia="宋体" w:cs="Times New Roman"/>
                <w:sz w:val="18"/>
                <w:szCs w:val="18"/>
              </w:rPr>
            </w:pPr>
            <w:r>
              <w:rPr>
                <w:rFonts w:ascii="Times New Roman" w:hAnsi="Times New Roman" w:eastAsia="Times New Roman" w:cs="Times New Roman"/>
                <w:sz w:val="18"/>
                <w:szCs w:val="18"/>
              </w:rPr>
              <w:t>(0.023)</w:t>
            </w:r>
          </w:p>
        </w:tc>
      </w:tr>
      <w:tr w14:paraId="6352D90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55E9E34A">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Controls</w:t>
            </w:r>
          </w:p>
        </w:tc>
        <w:tc>
          <w:tcPr>
            <w:tcW w:w="2786" w:type="dxa"/>
          </w:tcPr>
          <w:p w14:paraId="08C17789">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c>
          <w:tcPr>
            <w:tcW w:w="2786" w:type="dxa"/>
          </w:tcPr>
          <w:p w14:paraId="01137A98">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sz w:val="18"/>
                <w:szCs w:val="18"/>
              </w:rPr>
              <w:t>Yes</w:t>
            </w:r>
          </w:p>
        </w:tc>
      </w:tr>
      <w:tr w14:paraId="544C030B">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7C5DE4FF">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Year FE</w:t>
            </w:r>
          </w:p>
        </w:tc>
        <w:tc>
          <w:tcPr>
            <w:tcW w:w="2786" w:type="dxa"/>
          </w:tcPr>
          <w:p w14:paraId="3926FA0E">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2786" w:type="dxa"/>
          </w:tcPr>
          <w:p w14:paraId="2753C8D3">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r>
      <w:tr w14:paraId="0562FE8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031DA646">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i/>
                <w:iCs/>
                <w:sz w:val="18"/>
                <w:szCs w:val="18"/>
              </w:rPr>
              <w:t>Province FE</w:t>
            </w:r>
          </w:p>
        </w:tc>
        <w:tc>
          <w:tcPr>
            <w:tcW w:w="2786" w:type="dxa"/>
          </w:tcPr>
          <w:p w14:paraId="238086C6">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2786" w:type="dxa"/>
          </w:tcPr>
          <w:p w14:paraId="14BF2E61">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r>
      <w:tr w14:paraId="4769036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41CC53B8">
            <w:pPr>
              <w:widowControl/>
              <w:snapToGrid w:val="0"/>
              <w:spacing w:line="240" w:lineRule="auto"/>
              <w:jc w:val="left"/>
              <w:rPr>
                <w:rFonts w:ascii="Times New Roman" w:hAnsi="Times New Roman" w:eastAsia="Times New Roman" w:cs="Times New Roman"/>
                <w:i/>
                <w:iCs/>
                <w:sz w:val="18"/>
                <w:szCs w:val="18"/>
              </w:rPr>
            </w:pPr>
            <w:r>
              <w:rPr>
                <w:rFonts w:ascii="Times New Roman" w:hAnsi="Times New Roman" w:eastAsia="Times New Roman" w:cs="Times New Roman"/>
                <w:i/>
                <w:iCs/>
                <w:sz w:val="18"/>
                <w:szCs w:val="18"/>
              </w:rPr>
              <w:t>N</w:t>
            </w:r>
          </w:p>
        </w:tc>
        <w:tc>
          <w:tcPr>
            <w:tcW w:w="2786" w:type="dxa"/>
          </w:tcPr>
          <w:p w14:paraId="56B49448">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360</w:t>
            </w:r>
          </w:p>
        </w:tc>
        <w:tc>
          <w:tcPr>
            <w:tcW w:w="2786" w:type="dxa"/>
          </w:tcPr>
          <w:p w14:paraId="68A97136">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360</w:t>
            </w:r>
          </w:p>
        </w:tc>
      </w:tr>
      <w:tr w14:paraId="6204A5B8">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 w:hRule="atLeast"/>
        </w:trPr>
        <w:tc>
          <w:tcPr>
            <w:tcW w:w="2734" w:type="dxa"/>
          </w:tcPr>
          <w:p w14:paraId="22B457A4">
            <w:pPr>
              <w:widowControl/>
              <w:snapToGrid w:val="0"/>
              <w:spacing w:line="240" w:lineRule="auto"/>
              <w:jc w:val="left"/>
              <w:rPr>
                <w:rFonts w:ascii="Times New Roman" w:hAnsi="Times New Roman" w:eastAsia="Times New Roman" w:cs="Times New Roman"/>
                <w:i/>
                <w:iCs/>
                <w:sz w:val="18"/>
                <w:szCs w:val="18"/>
              </w:rPr>
            </w:pPr>
            <w:r>
              <w:rPr>
                <w:rFonts w:ascii="Times New Roman" w:hAnsi="Times New Roman" w:eastAsia="Times New Roman" w:cs="Times New Roman"/>
                <w:i/>
                <w:iCs/>
                <w:sz w:val="18"/>
                <w:szCs w:val="18"/>
              </w:rPr>
              <w:t>R</w:t>
            </w:r>
            <w:r>
              <w:rPr>
                <w:rFonts w:ascii="Times New Roman" w:hAnsi="Times New Roman" w:eastAsia="Times New Roman" w:cs="Times New Roman"/>
                <w:i/>
                <w:iCs/>
                <w:sz w:val="18"/>
                <w:szCs w:val="18"/>
                <w:vertAlign w:val="superscript"/>
              </w:rPr>
              <w:t>2</w:t>
            </w:r>
          </w:p>
        </w:tc>
        <w:tc>
          <w:tcPr>
            <w:tcW w:w="2786" w:type="dxa"/>
          </w:tcPr>
          <w:p w14:paraId="7B930484">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0.9556</w:t>
            </w:r>
          </w:p>
        </w:tc>
        <w:tc>
          <w:tcPr>
            <w:tcW w:w="2786" w:type="dxa"/>
          </w:tcPr>
          <w:p w14:paraId="52214944">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0.9538</w:t>
            </w:r>
          </w:p>
        </w:tc>
      </w:tr>
    </w:tbl>
    <w:p w14:paraId="7A824FA5">
      <w:pPr>
        <w:widowControl/>
        <w:spacing w:line="480" w:lineRule="auto"/>
        <w:rPr>
          <w:rFonts w:ascii="Times New Roman" w:hAnsi="Times New Roman" w:eastAsia="宋体" w:cs="Times New Roman"/>
          <w:sz w:val="18"/>
          <w:szCs w:val="18"/>
        </w:rPr>
      </w:pPr>
      <w:r>
        <w:rPr>
          <w:rFonts w:ascii="Times New Roman" w:hAnsi="Times New Roman" w:eastAsia="宋体" w:cs="Times New Roman"/>
          <w:sz w:val="18"/>
          <w:szCs w:val="18"/>
        </w:rPr>
        <w:t>Note: ***, ** and * denote significance levels of 1 %, 5 % and 10 %.</w:t>
      </w:r>
    </w:p>
    <w:p w14:paraId="50729899">
      <w:pPr>
        <w:spacing w:before="120" w:beforeLines="50" w:after="120" w:afterLines="50" w:line="480" w:lineRule="auto"/>
        <w:rPr>
          <w:rFonts w:ascii="Times New Roman" w:hAnsi="Times New Roman" w:cs="Times New Roman"/>
          <w:i/>
          <w:iCs/>
          <w:color w:val="0070C0"/>
          <w:szCs w:val="24"/>
        </w:rPr>
      </w:pPr>
      <w:bookmarkStart w:id="27" w:name="OLE_LINK21"/>
      <w:r>
        <w:rPr>
          <w:rFonts w:hint="eastAsia" w:ascii="Times New Roman" w:hAnsi="Times New Roman" w:cs="Times New Roman"/>
          <w:b/>
          <w:bCs/>
          <w:szCs w:val="24"/>
        </w:rPr>
        <w:t>4.5. Heterogeneity Analysis</w:t>
      </w:r>
      <w:r>
        <w:rPr>
          <w:rFonts w:ascii="Times New Roman" w:hAnsi="Times New Roman" w:cs="Times New Roman"/>
          <w:color w:val="0070C0"/>
          <w:szCs w:val="24"/>
        </w:rPr>
        <w:fldChar w:fldCharType="begin"/>
      </w:r>
      <w:r>
        <w:rPr>
          <w:rFonts w:ascii="Times New Roman" w:hAnsi="Times New Roman" w:cs="Times New Roman"/>
          <w:color w:val="0070C0"/>
          <w:szCs w:val="24"/>
        </w:rPr>
        <w:instrText xml:space="preserve"> REF _Ref216098976 \h  \* MERGEFORMAT </w:instrText>
      </w:r>
      <w:r>
        <w:rPr>
          <w:rFonts w:ascii="Times New Roman" w:hAnsi="Times New Roman" w:cs="Times New Roman"/>
          <w:color w:val="0070C0"/>
          <w:szCs w:val="24"/>
        </w:rPr>
        <w:fldChar w:fldCharType="separate"/>
      </w:r>
    </w:p>
    <w:p w14:paraId="64A77166">
      <w:pPr>
        <w:spacing w:after="120" w:afterLines="50" w:line="480" w:lineRule="auto"/>
        <w:ind w:firstLine="482"/>
        <w:rPr>
          <w:rFonts w:ascii="Times New Roman" w:hAnsi="Times New Roman" w:cs="Times New Roman"/>
          <w:szCs w:val="24"/>
        </w:rPr>
      </w:pPr>
      <w:r>
        <w:rPr>
          <w:rFonts w:hint="eastAsia" w:ascii="Times New Roman" w:hAnsi="Times New Roman" w:cs="Times New Roman"/>
          <w:color w:val="0070C0"/>
          <w:szCs w:val="24"/>
        </w:rPr>
        <w:t>Table</w:t>
      </w:r>
      <w:r>
        <w:rPr>
          <w:rFonts w:hint="eastAsia" w:ascii="Times New Roman" w:hAnsi="Times New Roman" w:cs="Times New Roman"/>
          <w:color w:val="0070C0"/>
        </w:rPr>
        <w:t xml:space="preserve"> </w:t>
      </w:r>
      <w:r>
        <w:rPr>
          <w:rFonts w:ascii="Times New Roman" w:hAnsi="Times New Roman" w:cs="Times New Roman"/>
          <w:color w:val="0070C0"/>
        </w:rPr>
        <w:t>8</w:t>
      </w:r>
      <w:r>
        <w:rPr>
          <w:rFonts w:ascii="Times New Roman" w:hAnsi="Times New Roman" w:cs="Times New Roman"/>
          <w:color w:val="0070C0"/>
          <w:szCs w:val="24"/>
        </w:rPr>
        <w:fldChar w:fldCharType="end"/>
      </w:r>
      <w:r>
        <w:rPr>
          <w:rFonts w:ascii="Times New Roman" w:hAnsi="Times New Roman" w:cs="Times New Roman"/>
          <w:color w:val="0070C0"/>
          <w:szCs w:val="24"/>
        </w:rPr>
        <w:t xml:space="preserve"> </w:t>
      </w:r>
      <w:r>
        <w:rPr>
          <w:rFonts w:ascii="Times New Roman" w:hAnsi="Times New Roman" w:cs="Times New Roman"/>
          <w:szCs w:val="24"/>
        </w:rPr>
        <w:t xml:space="preserve">presents the results of the heterogeneity analysis, </w:t>
      </w:r>
      <w:r>
        <w:rPr>
          <w:rFonts w:hint="eastAsia" w:ascii="Times New Roman" w:hAnsi="Times New Roman" w:cs="Times New Roman"/>
          <w:szCs w:val="24"/>
        </w:rPr>
        <w:t>reveal</w:t>
      </w:r>
      <w:r>
        <w:rPr>
          <w:rFonts w:ascii="Times New Roman" w:hAnsi="Times New Roman" w:cs="Times New Roman"/>
          <w:szCs w:val="24"/>
        </w:rPr>
        <w:t xml:space="preserve">ing that the impact of NTU on AER varies across policy environments and industrial structures. To examine policy heterogeneity, GOV is measured as the ratio of local fiscal general budget expenditure to regional GDP. Columns (1) and (2) </w:t>
      </w:r>
      <w:r>
        <w:rPr>
          <w:rFonts w:hint="eastAsia" w:ascii="Times New Roman" w:hAnsi="Times New Roman" w:cs="Times New Roman"/>
          <w:szCs w:val="24"/>
        </w:rPr>
        <w:t xml:space="preserve">indicate </w:t>
      </w:r>
      <w:r>
        <w:rPr>
          <w:rFonts w:ascii="Times New Roman" w:hAnsi="Times New Roman" w:cs="Times New Roman"/>
          <w:szCs w:val="24"/>
        </w:rPr>
        <w:t>that in regions with strong</w:t>
      </w:r>
      <w:r>
        <w:rPr>
          <w:rFonts w:hint="eastAsia" w:ascii="Times New Roman" w:hAnsi="Times New Roman" w:cs="Times New Roman"/>
          <w:szCs w:val="24"/>
        </w:rPr>
        <w:t>er</w:t>
      </w:r>
      <w:r>
        <w:rPr>
          <w:rFonts w:ascii="Times New Roman" w:hAnsi="Times New Roman" w:cs="Times New Roman"/>
          <w:szCs w:val="24"/>
        </w:rPr>
        <w:t xml:space="preserve"> government control, the positive effect of NTU is statistically in</w:t>
      </w:r>
      <w:r>
        <w:rPr>
          <w:rFonts w:hint="eastAsia" w:ascii="Times New Roman" w:hAnsi="Times New Roman" w:cs="Times New Roman"/>
          <w:szCs w:val="24"/>
        </w:rPr>
        <w:t xml:space="preserve"> </w:t>
      </w:r>
      <w:r>
        <w:rPr>
          <w:rFonts w:ascii="Times New Roman" w:hAnsi="Times New Roman" w:cs="Times New Roman"/>
          <w:szCs w:val="24"/>
        </w:rPr>
        <w:t xml:space="preserve">significant. This may </w:t>
      </w:r>
      <w:r>
        <w:rPr>
          <w:rFonts w:hint="eastAsia" w:ascii="Times New Roman" w:hAnsi="Times New Roman" w:cs="Times New Roman"/>
          <w:szCs w:val="24"/>
        </w:rPr>
        <w:t>reflect how</w:t>
      </w:r>
      <w:r>
        <w:rPr>
          <w:rFonts w:ascii="Times New Roman" w:hAnsi="Times New Roman" w:cs="Times New Roman"/>
          <w:szCs w:val="24"/>
        </w:rPr>
        <w:t xml:space="preserve"> administrative intervention constrains market-based resource allocation, thereby weakening the optimizing effects of NTU on agricultural systems. In contrast, in regions with weaker government control, where market mechanisms play a larger role, NTU significantly enhances AER.</w:t>
      </w:r>
    </w:p>
    <w:p w14:paraId="4AB86F45">
      <w:pPr>
        <w:spacing w:after="120" w:afterLines="50" w:line="480" w:lineRule="auto"/>
        <w:ind w:firstLine="482"/>
        <w:rPr>
          <w:rFonts w:ascii="Times New Roman" w:hAnsi="Times New Roman" w:cs="Times New Roman"/>
          <w:szCs w:val="24"/>
        </w:rPr>
      </w:pPr>
      <w:r>
        <w:rPr>
          <w:rFonts w:ascii="Times New Roman" w:hAnsi="Times New Roman" w:cs="Times New Roman"/>
          <w:szCs w:val="24"/>
        </w:rPr>
        <w:t>For industrial structure heterogeneity,</w:t>
      </w:r>
      <w:r>
        <w:rPr>
          <w:rFonts w:hint="eastAsia" w:ascii="Times New Roman" w:hAnsi="Times New Roman" w:cs="Times New Roman"/>
          <w:szCs w:val="24"/>
        </w:rPr>
        <w:t xml:space="preserve"> </w:t>
      </w:r>
      <w:r>
        <w:rPr>
          <w:rFonts w:ascii="Times New Roman" w:hAnsi="Times New Roman" w:cs="Times New Roman"/>
          <w:szCs w:val="24"/>
        </w:rPr>
        <w:t>IND</w:t>
      </w:r>
      <w:r>
        <w:rPr>
          <w:rFonts w:hint="eastAsia" w:ascii="Times New Roman" w:hAnsi="Times New Roman" w:cs="Times New Roman"/>
          <w:szCs w:val="24"/>
        </w:rPr>
        <w:t xml:space="preserve"> is defin</w:t>
      </w:r>
      <w:r>
        <w:rPr>
          <w:rFonts w:ascii="Times New Roman" w:hAnsi="Times New Roman" w:cs="Times New Roman"/>
          <w:szCs w:val="24"/>
        </w:rPr>
        <w:t>ed as the ratio of tertiary industry value added to secondary industry value added, Columns (3) and (4) indicate that in regions</w:t>
      </w:r>
      <w:r>
        <w:rPr>
          <w:rFonts w:hint="eastAsia" w:ascii="Times New Roman" w:hAnsi="Times New Roman" w:cs="Times New Roman"/>
          <w:szCs w:val="24"/>
        </w:rPr>
        <w:t xml:space="preserve"> with </w:t>
      </w:r>
      <w:r>
        <w:rPr>
          <w:rFonts w:ascii="Times New Roman" w:hAnsi="Times New Roman" w:cs="Times New Roman"/>
          <w:szCs w:val="24"/>
        </w:rPr>
        <w:t>a</w:t>
      </w:r>
      <w:r>
        <w:rPr>
          <w:rFonts w:hint="eastAsia" w:ascii="Times New Roman" w:hAnsi="Times New Roman" w:cs="Times New Roman"/>
          <w:szCs w:val="24"/>
        </w:rPr>
        <w:t xml:space="preserve"> more advanced industrial structure</w:t>
      </w:r>
      <w:r>
        <w:rPr>
          <w:rFonts w:hint="eastAsia" w:ascii="Times New Roman" w:hAnsi="Times New Roman" w:cs="Times New Roman"/>
          <w:szCs w:val="24"/>
          <w:lang w:val="en-US" w:eastAsia="zh-CN"/>
        </w:rPr>
        <w:t xml:space="preserve"> (</w:t>
      </w:r>
      <w:r>
        <w:rPr>
          <w:rFonts w:hint="eastAsia" w:ascii="Times New Roman" w:hAnsi="Times New Roman" w:cs="Times New Roman"/>
          <w:szCs w:val="24"/>
        </w:rPr>
        <w:t xml:space="preserve">i.e., a </w:t>
      </w:r>
      <w:r>
        <w:rPr>
          <w:rFonts w:ascii="Times New Roman" w:hAnsi="Times New Roman" w:cs="Times New Roman"/>
          <w:szCs w:val="24"/>
        </w:rPr>
        <w:t xml:space="preserve">higher share of tertiary </w:t>
      </w:r>
      <w:r>
        <w:rPr>
          <w:rFonts w:hint="eastAsia" w:ascii="Times New Roman" w:hAnsi="Times New Roman" w:cs="Times New Roman"/>
          <w:szCs w:val="24"/>
        </w:rPr>
        <w:t>sector output</w:t>
      </w:r>
      <w:r>
        <w:rPr>
          <w:rFonts w:hint="eastAsia" w:ascii="Times New Roman" w:hAnsi="Times New Roman" w:cs="Times New Roman"/>
          <w:szCs w:val="24"/>
          <w:lang w:val="en-US" w:eastAsia="zh-CN"/>
        </w:rPr>
        <w:t xml:space="preserve">) </w:t>
      </w:r>
      <w:r>
        <w:rPr>
          <w:rFonts w:ascii="Times New Roman" w:hAnsi="Times New Roman" w:cs="Times New Roman"/>
          <w:szCs w:val="24"/>
        </w:rPr>
        <w:t>the effect of NTU on AER is not statistically</w:t>
      </w:r>
      <w:r>
        <w:rPr>
          <w:rFonts w:hint="eastAsia" w:ascii="Times New Roman" w:hAnsi="Times New Roman" w:cs="Times New Roman"/>
          <w:szCs w:val="24"/>
        </w:rPr>
        <w:t xml:space="preserve"> </w:t>
      </w:r>
      <w:r>
        <w:rPr>
          <w:rFonts w:ascii="Times New Roman" w:hAnsi="Times New Roman" w:cs="Times New Roman"/>
          <w:szCs w:val="24"/>
        </w:rPr>
        <w:t xml:space="preserve">significant. This may be due to non-agricultural sectors absorbing substantial rural labor, capital, and technological resources, potentially leading to </w:t>
      </w:r>
      <w:r>
        <w:rPr>
          <w:rFonts w:hint="eastAsia" w:ascii="Times New Roman" w:hAnsi="Times New Roman" w:cs="Times New Roman"/>
          <w:szCs w:val="24"/>
        </w:rPr>
        <w:t xml:space="preserve">the </w:t>
      </w:r>
      <w:r>
        <w:rPr>
          <w:rFonts w:ascii="Times New Roman" w:hAnsi="Times New Roman" w:cs="Times New Roman"/>
          <w:szCs w:val="24"/>
        </w:rPr>
        <w:t xml:space="preserve">“hollowing out” of agriculture. Conversely, in regions with a lower share of tertiary industries, agriculture remains a foundational sector, and NTU </w:t>
      </w:r>
      <w:r>
        <w:rPr>
          <w:rFonts w:hint="eastAsia" w:ascii="Times New Roman" w:hAnsi="Times New Roman" w:cs="Times New Roman"/>
          <w:szCs w:val="24"/>
        </w:rPr>
        <w:t xml:space="preserve">more </w:t>
      </w:r>
      <w:r>
        <w:rPr>
          <w:rFonts w:ascii="Times New Roman" w:hAnsi="Times New Roman" w:cs="Times New Roman"/>
          <w:szCs w:val="24"/>
        </w:rPr>
        <w:t>effectively promotes AER through infrastructure improvements and enhanced public services underpinned by targeted policy and industrial support.</w:t>
      </w:r>
    </w:p>
    <w:p w14:paraId="3FCA9D94">
      <w:pPr>
        <w:spacing w:after="120" w:afterLines="50" w:line="480" w:lineRule="auto"/>
        <w:ind w:firstLine="482"/>
        <w:rPr>
          <w:rFonts w:ascii="Times New Roman" w:hAnsi="Times New Roman" w:cs="Times New Roman"/>
          <w:szCs w:val="24"/>
        </w:rPr>
      </w:pPr>
      <w:r>
        <w:rPr>
          <w:rFonts w:ascii="Times New Roman" w:hAnsi="Times New Roman" w:cs="Times New Roman"/>
          <w:szCs w:val="24"/>
        </w:rPr>
        <w:t>Regional heterogeneity is further examined in Columns (5)</w:t>
      </w:r>
      <w:r>
        <w:rPr>
          <w:rFonts w:hint="eastAsia" w:ascii="Times New Roman" w:hAnsi="Times New Roman" w:cs="Times New Roman"/>
          <w:szCs w:val="24"/>
        </w:rPr>
        <w:t>-</w:t>
      </w:r>
      <w:r>
        <w:rPr>
          <w:rFonts w:ascii="Times New Roman" w:hAnsi="Times New Roman" w:cs="Times New Roman"/>
          <w:szCs w:val="24"/>
        </w:rPr>
        <w:t xml:space="preserve">(7) of </w:t>
      </w:r>
      <w:r>
        <w:rPr>
          <w:rFonts w:ascii="Times New Roman" w:hAnsi="Times New Roman" w:cs="Times New Roman"/>
          <w:color w:val="4472C4" w:themeColor="accent1"/>
          <w:szCs w:val="24"/>
          <w14:textFill>
            <w14:solidFill>
              <w14:schemeClr w14:val="accent1"/>
            </w14:solidFill>
          </w14:textFill>
        </w:rPr>
        <w:fldChar w:fldCharType="begin"/>
      </w:r>
      <w:r>
        <w:rPr>
          <w:rFonts w:ascii="Times New Roman" w:hAnsi="Times New Roman" w:cs="Times New Roman"/>
          <w:color w:val="4472C4" w:themeColor="accent1"/>
          <w:szCs w:val="24"/>
          <w14:textFill>
            <w14:solidFill>
              <w14:schemeClr w14:val="accent1"/>
            </w14:solidFill>
          </w14:textFill>
        </w:rPr>
        <w:instrText xml:space="preserve"> REF _Ref216098976 \h  \* MERGEFORMAT </w:instrText>
      </w:r>
      <w:r>
        <w:rPr>
          <w:rFonts w:ascii="Times New Roman" w:hAnsi="Times New Roman" w:cs="Times New Roman"/>
          <w:color w:val="4472C4" w:themeColor="accent1"/>
          <w:szCs w:val="24"/>
          <w14:textFill>
            <w14:solidFill>
              <w14:schemeClr w14:val="accent1"/>
            </w14:solidFill>
          </w14:textFill>
        </w:rPr>
        <w:fldChar w:fldCharType="separate"/>
      </w:r>
      <w:r>
        <w:rPr>
          <w:rFonts w:ascii="Times New Roman" w:hAnsi="Times New Roman" w:cs="Times New Roman"/>
          <w:color w:val="4472C4" w:themeColor="accent1"/>
          <w14:textFill>
            <w14:solidFill>
              <w14:schemeClr w14:val="accent1"/>
            </w14:solidFill>
          </w14:textFill>
        </w:rPr>
        <w:t>Table 8</w:t>
      </w:r>
      <w:r>
        <w:rPr>
          <w:rFonts w:ascii="Times New Roman" w:hAnsi="Times New Roman" w:cs="Times New Roman"/>
          <w:color w:val="4472C4" w:themeColor="accent1"/>
          <w:szCs w:val="24"/>
          <w14:textFill>
            <w14:solidFill>
              <w14:schemeClr w14:val="accent1"/>
            </w14:solidFill>
          </w14:textFill>
        </w:rPr>
        <w:fldChar w:fldCharType="end"/>
      </w:r>
      <w:r>
        <w:rPr>
          <w:rFonts w:ascii="Times New Roman" w:hAnsi="Times New Roman" w:cs="Times New Roman"/>
          <w:szCs w:val="24"/>
        </w:rPr>
        <w:t>. The results show that</w:t>
      </w:r>
      <w:r>
        <w:rPr>
          <w:rFonts w:hint="eastAsia" w:ascii="Times New Roman" w:hAnsi="Times New Roman" w:cs="Times New Roman"/>
          <w:szCs w:val="24"/>
        </w:rPr>
        <w:t xml:space="preserve"> </w:t>
      </w:r>
      <w:r>
        <w:rPr>
          <w:rFonts w:ascii="Times New Roman" w:hAnsi="Times New Roman" w:cs="Times New Roman"/>
          <w:szCs w:val="24"/>
        </w:rPr>
        <w:t>NTU has a significantly positive effect on AER in both eastern and central regions, with coefficients of 0.5478 and 0.7218, respectively</w:t>
      </w:r>
      <w:r>
        <w:rPr>
          <w:rFonts w:hint="eastAsia" w:ascii="Times New Roman" w:hAnsi="Times New Roman" w:cs="Times New Roman"/>
          <w:szCs w:val="24"/>
          <w:lang w:val="en-US" w:eastAsia="zh-CN"/>
        </w:rPr>
        <w:t>,</w:t>
      </w:r>
      <w:r>
        <w:rPr>
          <w:rFonts w:hint="eastAsia" w:ascii="Times New Roman" w:hAnsi="Times New Roman" w:cs="Times New Roman"/>
          <w:szCs w:val="24"/>
        </w:rPr>
        <w:t xml:space="preserve"> </w:t>
      </w:r>
      <w:r>
        <w:rPr>
          <w:rFonts w:ascii="Times New Roman" w:hAnsi="Times New Roman" w:cs="Times New Roman"/>
          <w:szCs w:val="24"/>
        </w:rPr>
        <w:t xml:space="preserve">significant at the 1% level. This </w:t>
      </w:r>
      <w:r>
        <w:rPr>
          <w:rFonts w:hint="eastAsia" w:ascii="Times New Roman" w:hAnsi="Times New Roman" w:cs="Times New Roman"/>
          <w:szCs w:val="24"/>
        </w:rPr>
        <w:t xml:space="preserve">pattern </w:t>
      </w:r>
      <w:r>
        <w:rPr>
          <w:rFonts w:ascii="Times New Roman" w:hAnsi="Times New Roman" w:cs="Times New Roman"/>
          <w:szCs w:val="24"/>
        </w:rPr>
        <w:t>suggests that in regions characterized by stronger economic foundations, better infrastructure, and more efficient factor mobility,</w:t>
      </w:r>
      <w:r>
        <w:rPr>
          <w:rFonts w:hint="eastAsia" w:ascii="Times New Roman" w:hAnsi="Times New Roman" w:cs="Times New Roman"/>
          <w:szCs w:val="24"/>
        </w:rPr>
        <w:t xml:space="preserve"> </w:t>
      </w:r>
      <w:r>
        <w:rPr>
          <w:rFonts w:ascii="Times New Roman" w:hAnsi="Times New Roman" w:cs="Times New Roman"/>
          <w:szCs w:val="24"/>
        </w:rPr>
        <w:t xml:space="preserve">NTU </w:t>
      </w:r>
      <w:r>
        <w:rPr>
          <w:rFonts w:hint="eastAsia" w:ascii="Times New Roman" w:hAnsi="Times New Roman" w:cs="Times New Roman"/>
          <w:szCs w:val="24"/>
        </w:rPr>
        <w:t xml:space="preserve">more </w:t>
      </w:r>
      <w:r>
        <w:rPr>
          <w:rFonts w:ascii="Times New Roman" w:hAnsi="Times New Roman" w:cs="Times New Roman"/>
          <w:szCs w:val="24"/>
        </w:rPr>
        <w:t xml:space="preserve">effectively enhances agricultural resilience. By comparison, the western region </w:t>
      </w:r>
      <w:r>
        <w:rPr>
          <w:rFonts w:hint="eastAsia" w:ascii="Times New Roman" w:hAnsi="Times New Roman" w:cs="Times New Roman"/>
          <w:szCs w:val="24"/>
        </w:rPr>
        <w:t>exhibits a smaller and less significant coefficient (</w:t>
      </w:r>
      <w:r>
        <w:rPr>
          <w:rFonts w:ascii="Times New Roman" w:hAnsi="Times New Roman" w:cs="Times New Roman"/>
          <w:szCs w:val="24"/>
        </w:rPr>
        <w:t xml:space="preserve">0.1544, significant </w:t>
      </w:r>
      <w:r>
        <w:rPr>
          <w:rFonts w:hint="eastAsia" w:ascii="Times New Roman" w:hAnsi="Times New Roman" w:cs="Times New Roman"/>
          <w:szCs w:val="24"/>
        </w:rPr>
        <w:t xml:space="preserve">only </w:t>
      </w:r>
      <w:r>
        <w:rPr>
          <w:rFonts w:ascii="Times New Roman" w:hAnsi="Times New Roman" w:cs="Times New Roman"/>
          <w:szCs w:val="24"/>
        </w:rPr>
        <w:t>at the 10% level</w:t>
      </w:r>
      <w:r>
        <w:rPr>
          <w:rFonts w:hint="eastAsia" w:ascii="Times New Roman" w:hAnsi="Times New Roman" w:cs="Times New Roman"/>
          <w:szCs w:val="24"/>
        </w:rPr>
        <w:t>)</w:t>
      </w:r>
      <w:r>
        <w:rPr>
          <w:rFonts w:ascii="Times New Roman" w:hAnsi="Times New Roman" w:cs="Times New Roman"/>
          <w:szCs w:val="24"/>
        </w:rPr>
        <w:t xml:space="preserve">, indicating a weaker overall effect. This may be attributed to underdeveloped infrastructure and uneven urban-rural development, which limit the capacity of NTU to fully </w:t>
      </w:r>
      <w:r>
        <w:rPr>
          <w:rFonts w:hint="eastAsia" w:ascii="Times New Roman" w:hAnsi="Times New Roman" w:cs="Times New Roman"/>
          <w:szCs w:val="24"/>
        </w:rPr>
        <w:t>strengthen</w:t>
      </w:r>
      <w:r>
        <w:rPr>
          <w:rFonts w:ascii="Times New Roman" w:hAnsi="Times New Roman" w:cs="Times New Roman"/>
          <w:szCs w:val="24"/>
        </w:rPr>
        <w:t xml:space="preserve"> </w:t>
      </w:r>
      <w:r>
        <w:rPr>
          <w:rFonts w:hint="eastAsia" w:ascii="Times New Roman" w:hAnsi="Times New Roman" w:cs="Times New Roman"/>
          <w:szCs w:val="24"/>
          <w:lang w:val="en-US" w:eastAsia="zh-CN"/>
        </w:rPr>
        <w:t>AER</w:t>
      </w:r>
      <w:r>
        <w:rPr>
          <w:rFonts w:ascii="Times New Roman" w:hAnsi="Times New Roman" w:cs="Times New Roman"/>
          <w:szCs w:val="24"/>
        </w:rPr>
        <w:t>.</w:t>
      </w:r>
      <w:bookmarkEnd w:id="27"/>
      <w:bookmarkStart w:id="28" w:name="_Ref216098976"/>
    </w:p>
    <w:p w14:paraId="748492DB">
      <w:pPr>
        <w:pStyle w:val="56"/>
        <w:spacing w:before="240"/>
        <w:rPr>
          <w:rFonts w:eastAsia="宋体"/>
          <w:sz w:val="24"/>
          <w:szCs w:val="24"/>
        </w:rPr>
      </w:pPr>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t>8</w:t>
      </w:r>
      <w:r>
        <w:rPr>
          <w:rFonts w:hint="eastAsia"/>
        </w:rPr>
        <w:fldChar w:fldCharType="end"/>
      </w:r>
      <w:bookmarkEnd w:id="28"/>
    </w:p>
    <w:p w14:paraId="08F27035">
      <w:pPr>
        <w:spacing w:line="480" w:lineRule="auto"/>
        <w:rPr>
          <w:rFonts w:ascii="Times New Roman" w:hAnsi="Times New Roman" w:eastAsia="等线" w:cs="Times New Roman"/>
          <w:sz w:val="18"/>
          <w:szCs w:val="18"/>
        </w:rPr>
      </w:pPr>
      <w:r>
        <w:rPr>
          <w:rFonts w:hint="eastAsia" w:ascii="Times New Roman" w:hAnsi="Times New Roman" w:eastAsia="等线" w:cs="Times New Roman"/>
          <w:sz w:val="18"/>
          <w:szCs w:val="18"/>
        </w:rPr>
        <w:t>The regression results of heterogeneity analysis.</w:t>
      </w:r>
    </w:p>
    <w:tbl>
      <w:tblPr>
        <w:tblStyle w:val="50"/>
        <w:tblW w:w="8545" w:type="dxa"/>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45" w:type="dxa"/>
          <w:bottom w:w="0" w:type="dxa"/>
          <w:right w:w="45" w:type="dxa"/>
        </w:tblCellMar>
      </w:tblPr>
      <w:tblGrid>
        <w:gridCol w:w="1168"/>
        <w:gridCol w:w="1054"/>
        <w:gridCol w:w="1053"/>
        <w:gridCol w:w="1054"/>
        <w:gridCol w:w="1054"/>
        <w:gridCol w:w="1054"/>
        <w:gridCol w:w="1054"/>
        <w:gridCol w:w="1054"/>
      </w:tblGrid>
      <w:tr w14:paraId="719DEB2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45" w:type="dxa"/>
            <w:bottom w:w="0" w:type="dxa"/>
            <w:right w:w="45" w:type="dxa"/>
          </w:tblCellMar>
        </w:tblPrEx>
        <w:trPr>
          <w:trHeight w:val="283" w:hRule="atLeast"/>
        </w:trPr>
        <w:tc>
          <w:tcPr>
            <w:tcW w:w="1168" w:type="dxa"/>
            <w:tcBorders>
              <w:top w:val="single" w:color="auto" w:sz="12" w:space="0"/>
              <w:left w:val="nil"/>
              <w:bottom w:val="nil"/>
              <w:right w:val="nil"/>
              <w:insideV w:val="nil"/>
              <w:tl2br w:val="nil"/>
              <w:tr2bl w:val="nil"/>
            </w:tcBorders>
          </w:tcPr>
          <w:p w14:paraId="029137A4">
            <w:pPr>
              <w:widowControl/>
              <w:snapToGrid w:val="0"/>
              <w:spacing w:line="240" w:lineRule="auto"/>
              <w:jc w:val="left"/>
              <w:rPr>
                <w:rFonts w:ascii="Times New Roman" w:hAnsi="Times New Roman" w:eastAsia="宋体" w:cs="Times New Roman"/>
                <w:sz w:val="18"/>
                <w:szCs w:val="18"/>
              </w:rPr>
            </w:pPr>
          </w:p>
        </w:tc>
        <w:tc>
          <w:tcPr>
            <w:tcW w:w="1054" w:type="dxa"/>
            <w:tcBorders>
              <w:top w:val="single" w:color="auto" w:sz="12" w:space="0"/>
              <w:bottom w:val="nil"/>
              <w:right w:val="nil"/>
              <w:insideV w:val="nil"/>
              <w:tl2br w:val="nil"/>
              <w:tr2bl w:val="nil"/>
            </w:tcBorders>
          </w:tcPr>
          <w:p w14:paraId="18104893">
            <w:pPr>
              <w:widowControl/>
              <w:snapToGrid w:val="0"/>
              <w:spacing w:line="240" w:lineRule="auto"/>
              <w:jc w:val="left"/>
              <w:rPr>
                <w:rFonts w:ascii="Times New Roman" w:hAnsi="Times New Roman" w:eastAsia="Times New Roman" w:cs="Times New Roman"/>
                <w:i/>
                <w:iCs/>
                <w:sz w:val="18"/>
                <w:szCs w:val="18"/>
              </w:rPr>
            </w:pPr>
            <w:r>
              <w:rPr>
                <w:rFonts w:hint="eastAsia" w:ascii="Times New Roman" w:hAnsi="Times New Roman" w:cs="Times New Roman" w:eastAsiaTheme="minorEastAsia"/>
                <w:sz w:val="18"/>
                <w:szCs w:val="18"/>
              </w:rPr>
              <w:t>(1)</w:t>
            </w:r>
          </w:p>
        </w:tc>
        <w:tc>
          <w:tcPr>
            <w:tcW w:w="1053" w:type="dxa"/>
            <w:tcBorders>
              <w:top w:val="single" w:color="auto" w:sz="12" w:space="0"/>
              <w:bottom w:val="nil"/>
              <w:right w:val="nil"/>
              <w:insideV w:val="nil"/>
              <w:tl2br w:val="nil"/>
              <w:tr2bl w:val="nil"/>
            </w:tcBorders>
          </w:tcPr>
          <w:p w14:paraId="43BCF982">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sz w:val="18"/>
                <w:szCs w:val="18"/>
              </w:rPr>
              <w:t>(2)</w:t>
            </w:r>
          </w:p>
        </w:tc>
        <w:tc>
          <w:tcPr>
            <w:tcW w:w="1054" w:type="dxa"/>
            <w:tcBorders>
              <w:top w:val="single" w:color="auto" w:sz="12" w:space="0"/>
              <w:bottom w:val="nil"/>
              <w:right w:val="nil"/>
              <w:insideV w:val="nil"/>
              <w:tl2br w:val="nil"/>
              <w:tr2bl w:val="nil"/>
            </w:tcBorders>
          </w:tcPr>
          <w:p w14:paraId="43BCD35B">
            <w:pPr>
              <w:widowControl/>
              <w:snapToGrid w:val="0"/>
              <w:spacing w:line="240" w:lineRule="auto"/>
              <w:jc w:val="left"/>
              <w:rPr>
                <w:rFonts w:ascii="Times New Roman" w:hAnsi="Times New Roman" w:eastAsia="Times New Roman" w:cs="Times New Roman"/>
                <w:i/>
                <w:iCs/>
                <w:sz w:val="18"/>
                <w:szCs w:val="18"/>
              </w:rPr>
            </w:pPr>
            <w:r>
              <w:rPr>
                <w:rFonts w:hint="eastAsia" w:ascii="Times New Roman" w:hAnsi="Times New Roman" w:cs="Times New Roman" w:eastAsiaTheme="minorEastAsia"/>
                <w:sz w:val="18"/>
                <w:szCs w:val="18"/>
              </w:rPr>
              <w:t>(3)</w:t>
            </w:r>
          </w:p>
        </w:tc>
        <w:tc>
          <w:tcPr>
            <w:tcW w:w="1054" w:type="dxa"/>
            <w:tcBorders>
              <w:top w:val="single" w:color="auto" w:sz="12" w:space="0"/>
              <w:bottom w:val="nil"/>
              <w:right w:val="nil"/>
              <w:insideV w:val="nil"/>
              <w:tl2br w:val="nil"/>
              <w:tr2bl w:val="nil"/>
            </w:tcBorders>
          </w:tcPr>
          <w:p w14:paraId="3E052FD0">
            <w:pPr>
              <w:widowControl/>
              <w:snapToGrid w:val="0"/>
              <w:spacing w:line="240" w:lineRule="auto"/>
              <w:jc w:val="left"/>
              <w:rPr>
                <w:rFonts w:ascii="Times New Roman" w:hAnsi="Times New Roman" w:eastAsia="Times New Roman" w:cs="Times New Roman"/>
                <w:i/>
                <w:iCs/>
                <w:sz w:val="18"/>
                <w:szCs w:val="18"/>
              </w:rPr>
            </w:pPr>
            <w:r>
              <w:rPr>
                <w:rFonts w:hint="eastAsia" w:ascii="Times New Roman" w:hAnsi="Times New Roman" w:cs="Times New Roman" w:eastAsiaTheme="minorEastAsia"/>
                <w:sz w:val="18"/>
                <w:szCs w:val="18"/>
              </w:rPr>
              <w:t>(4)</w:t>
            </w:r>
          </w:p>
        </w:tc>
        <w:tc>
          <w:tcPr>
            <w:tcW w:w="1054" w:type="dxa"/>
            <w:tcBorders>
              <w:top w:val="single" w:color="auto" w:sz="12" w:space="0"/>
              <w:bottom w:val="nil"/>
              <w:right w:val="nil"/>
              <w:insideV w:val="nil"/>
              <w:tl2br w:val="nil"/>
              <w:tr2bl w:val="nil"/>
            </w:tcBorders>
          </w:tcPr>
          <w:p w14:paraId="68080BA9">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sz w:val="18"/>
                <w:szCs w:val="18"/>
              </w:rPr>
              <w:t>(5)</w:t>
            </w:r>
          </w:p>
        </w:tc>
        <w:tc>
          <w:tcPr>
            <w:tcW w:w="1054" w:type="dxa"/>
            <w:tcBorders>
              <w:top w:val="single" w:color="auto" w:sz="12" w:space="0"/>
              <w:bottom w:val="nil"/>
              <w:right w:val="nil"/>
              <w:insideV w:val="nil"/>
              <w:tl2br w:val="nil"/>
              <w:tr2bl w:val="nil"/>
            </w:tcBorders>
          </w:tcPr>
          <w:p w14:paraId="17B44F14">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sz w:val="18"/>
                <w:szCs w:val="18"/>
              </w:rPr>
              <w:t>(6)</w:t>
            </w:r>
          </w:p>
        </w:tc>
        <w:tc>
          <w:tcPr>
            <w:tcW w:w="1054" w:type="dxa"/>
            <w:tcBorders>
              <w:top w:val="single" w:color="auto" w:sz="12" w:space="0"/>
              <w:bottom w:val="nil"/>
              <w:right w:val="nil"/>
              <w:insideV w:val="nil"/>
              <w:tl2br w:val="nil"/>
              <w:tr2bl w:val="nil"/>
            </w:tcBorders>
          </w:tcPr>
          <w:p w14:paraId="7B4A6F54">
            <w:pPr>
              <w:widowControl/>
              <w:snapToGrid w:val="0"/>
              <w:spacing w:line="240" w:lineRule="auto"/>
              <w:jc w:val="left"/>
              <w:rPr>
                <w:rFonts w:ascii="Times New Roman" w:hAnsi="Times New Roman" w:eastAsia="宋体" w:cs="Times New Roman"/>
                <w:i/>
                <w:iCs/>
                <w:sz w:val="18"/>
                <w:szCs w:val="18"/>
              </w:rPr>
            </w:pPr>
            <w:r>
              <w:rPr>
                <w:rFonts w:hint="eastAsia" w:ascii="Times New Roman" w:hAnsi="Times New Roman" w:eastAsia="宋体" w:cs="Times New Roman"/>
                <w:sz w:val="18"/>
                <w:szCs w:val="18"/>
              </w:rPr>
              <w:t>(7)</w:t>
            </w:r>
          </w:p>
        </w:tc>
      </w:tr>
      <w:tr w14:paraId="5D00591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45" w:type="dxa"/>
            <w:bottom w:w="0" w:type="dxa"/>
            <w:right w:w="45" w:type="dxa"/>
          </w:tblCellMar>
        </w:tblPrEx>
        <w:trPr>
          <w:trHeight w:val="283" w:hRule="atLeast"/>
        </w:trPr>
        <w:tc>
          <w:tcPr>
            <w:tcW w:w="1168" w:type="dxa"/>
            <w:tcBorders>
              <w:top w:val="nil"/>
              <w:bottom w:val="nil"/>
            </w:tcBorders>
          </w:tcPr>
          <w:p w14:paraId="5252A735">
            <w:pPr>
              <w:widowControl/>
              <w:snapToGrid w:val="0"/>
              <w:spacing w:line="240" w:lineRule="auto"/>
              <w:jc w:val="left"/>
              <w:rPr>
                <w:rFonts w:ascii="Times New Roman" w:hAnsi="Times New Roman" w:eastAsia="宋体" w:cs="Times New Roman"/>
                <w:sz w:val="18"/>
                <w:szCs w:val="18"/>
              </w:rPr>
            </w:pPr>
          </w:p>
        </w:tc>
        <w:tc>
          <w:tcPr>
            <w:tcW w:w="1054" w:type="dxa"/>
            <w:tcBorders>
              <w:top w:val="nil"/>
              <w:bottom w:val="nil"/>
            </w:tcBorders>
          </w:tcPr>
          <w:p w14:paraId="47E58215">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i/>
                <w:iCs/>
                <w:sz w:val="18"/>
                <w:szCs w:val="18"/>
              </w:rPr>
              <w:t>AER</w:t>
            </w:r>
          </w:p>
        </w:tc>
        <w:tc>
          <w:tcPr>
            <w:tcW w:w="1053" w:type="dxa"/>
            <w:tcBorders>
              <w:top w:val="nil"/>
              <w:bottom w:val="nil"/>
            </w:tcBorders>
          </w:tcPr>
          <w:p w14:paraId="4ABC33B3">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i/>
                <w:iCs/>
                <w:sz w:val="18"/>
                <w:szCs w:val="18"/>
              </w:rPr>
              <w:t>AER</w:t>
            </w:r>
          </w:p>
        </w:tc>
        <w:tc>
          <w:tcPr>
            <w:tcW w:w="1054" w:type="dxa"/>
            <w:tcBorders>
              <w:top w:val="nil"/>
              <w:bottom w:val="nil"/>
            </w:tcBorders>
          </w:tcPr>
          <w:p w14:paraId="31182C3A">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i/>
                <w:iCs/>
                <w:sz w:val="18"/>
                <w:szCs w:val="18"/>
              </w:rPr>
              <w:t>AER</w:t>
            </w:r>
          </w:p>
        </w:tc>
        <w:tc>
          <w:tcPr>
            <w:tcW w:w="1054" w:type="dxa"/>
            <w:tcBorders>
              <w:top w:val="nil"/>
              <w:bottom w:val="nil"/>
            </w:tcBorders>
          </w:tcPr>
          <w:p w14:paraId="07656A84">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i/>
                <w:iCs/>
                <w:sz w:val="18"/>
                <w:szCs w:val="18"/>
              </w:rPr>
              <w:t>AER</w:t>
            </w:r>
          </w:p>
        </w:tc>
        <w:tc>
          <w:tcPr>
            <w:tcW w:w="1054" w:type="dxa"/>
            <w:tcBorders>
              <w:top w:val="nil"/>
              <w:bottom w:val="nil"/>
            </w:tcBorders>
          </w:tcPr>
          <w:p w14:paraId="58B3FB54">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i/>
                <w:iCs/>
                <w:sz w:val="18"/>
                <w:szCs w:val="18"/>
              </w:rPr>
              <w:t>AER</w:t>
            </w:r>
          </w:p>
        </w:tc>
        <w:tc>
          <w:tcPr>
            <w:tcW w:w="1054" w:type="dxa"/>
            <w:tcBorders>
              <w:top w:val="nil"/>
              <w:bottom w:val="nil"/>
            </w:tcBorders>
          </w:tcPr>
          <w:p w14:paraId="0BBDBA42">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i/>
                <w:iCs/>
                <w:sz w:val="18"/>
                <w:szCs w:val="18"/>
              </w:rPr>
              <w:t>AER</w:t>
            </w:r>
          </w:p>
        </w:tc>
        <w:tc>
          <w:tcPr>
            <w:tcW w:w="1054" w:type="dxa"/>
            <w:tcBorders>
              <w:top w:val="nil"/>
              <w:bottom w:val="nil"/>
            </w:tcBorders>
          </w:tcPr>
          <w:p w14:paraId="089F294E">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eastAsia="宋体" w:cs="Times New Roman"/>
                <w:i/>
                <w:iCs/>
                <w:sz w:val="18"/>
                <w:szCs w:val="18"/>
              </w:rPr>
              <w:t>AER</w:t>
            </w:r>
          </w:p>
        </w:tc>
      </w:tr>
      <w:tr w14:paraId="79EE4FFC">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45" w:type="dxa"/>
            <w:bottom w:w="0" w:type="dxa"/>
            <w:right w:w="45" w:type="dxa"/>
          </w:tblCellMar>
        </w:tblPrEx>
        <w:trPr>
          <w:trHeight w:val="283" w:hRule="atLeast"/>
        </w:trPr>
        <w:tc>
          <w:tcPr>
            <w:tcW w:w="1168" w:type="dxa"/>
            <w:tcBorders>
              <w:top w:val="nil"/>
              <w:bottom w:val="nil"/>
            </w:tcBorders>
          </w:tcPr>
          <w:p w14:paraId="7165E92B">
            <w:pPr>
              <w:widowControl/>
              <w:snapToGrid w:val="0"/>
              <w:spacing w:line="240" w:lineRule="auto"/>
              <w:jc w:val="left"/>
              <w:rPr>
                <w:rFonts w:ascii="Times New Roman" w:hAnsi="Times New Roman" w:cs="Times New Roman" w:eastAsiaTheme="minorEastAsia"/>
                <w:sz w:val="18"/>
                <w:szCs w:val="18"/>
              </w:rPr>
            </w:pPr>
            <w:bookmarkStart w:id="29" w:name="_Hlk206338222"/>
          </w:p>
        </w:tc>
        <w:tc>
          <w:tcPr>
            <w:tcW w:w="1054" w:type="dxa"/>
            <w:tcBorders>
              <w:top w:val="nil"/>
              <w:bottom w:val="nil"/>
            </w:tcBorders>
          </w:tcPr>
          <w:p w14:paraId="6DAF0A75">
            <w:pPr>
              <w:widowControl/>
              <w:snapToGrid w:val="0"/>
              <w:spacing w:line="240" w:lineRule="auto"/>
              <w:jc w:val="left"/>
              <w:rPr>
                <w:rFonts w:ascii="Times New Roman" w:hAnsi="Times New Roman" w:cs="Times New Roman" w:eastAsiaTheme="minorEastAsia"/>
                <w:sz w:val="18"/>
                <w:szCs w:val="18"/>
              </w:rPr>
            </w:pPr>
            <w:r>
              <w:rPr>
                <w:rFonts w:ascii="Times New Roman" w:hAnsi="Times New Roman" w:eastAsia="Times New Roman" w:cs="Times New Roman"/>
                <w:i/>
                <w:iCs/>
                <w:sz w:val="18"/>
                <w:szCs w:val="18"/>
              </w:rPr>
              <w:t>high_</w:t>
            </w:r>
            <w:r>
              <w:rPr>
                <w:rFonts w:hint="eastAsia" w:ascii="Times New Roman" w:hAnsi="Times New Roman" w:cs="Times New Roman" w:eastAsiaTheme="minorEastAsia"/>
                <w:i/>
                <w:iCs/>
                <w:sz w:val="18"/>
                <w:szCs w:val="18"/>
              </w:rPr>
              <w:t>GOV</w:t>
            </w:r>
          </w:p>
        </w:tc>
        <w:tc>
          <w:tcPr>
            <w:tcW w:w="1053" w:type="dxa"/>
            <w:tcBorders>
              <w:top w:val="nil"/>
              <w:bottom w:val="nil"/>
            </w:tcBorders>
          </w:tcPr>
          <w:p w14:paraId="6F3123CF">
            <w:pPr>
              <w:widowControl/>
              <w:snapToGrid w:val="0"/>
              <w:spacing w:line="240" w:lineRule="auto"/>
              <w:jc w:val="left"/>
              <w:rPr>
                <w:rFonts w:ascii="Times New Roman" w:hAnsi="Times New Roman" w:eastAsia="宋体" w:cs="Times New Roman"/>
                <w:sz w:val="18"/>
                <w:szCs w:val="18"/>
              </w:rPr>
            </w:pPr>
            <w:r>
              <w:rPr>
                <w:rFonts w:ascii="Times New Roman" w:hAnsi="Times New Roman" w:eastAsia="宋体" w:cs="Times New Roman"/>
                <w:i/>
                <w:iCs/>
                <w:sz w:val="18"/>
                <w:szCs w:val="18"/>
              </w:rPr>
              <w:t>low_</w:t>
            </w:r>
            <w:r>
              <w:rPr>
                <w:rFonts w:hint="eastAsia" w:ascii="Times New Roman" w:hAnsi="Times New Roman" w:eastAsia="宋体" w:cs="Times New Roman"/>
                <w:i/>
                <w:iCs/>
                <w:sz w:val="18"/>
                <w:szCs w:val="18"/>
              </w:rPr>
              <w:t>GOV</w:t>
            </w:r>
          </w:p>
        </w:tc>
        <w:tc>
          <w:tcPr>
            <w:tcW w:w="1054" w:type="dxa"/>
            <w:tcBorders>
              <w:top w:val="nil"/>
              <w:bottom w:val="nil"/>
            </w:tcBorders>
          </w:tcPr>
          <w:p w14:paraId="4B37BF66">
            <w:pPr>
              <w:widowControl/>
              <w:snapToGrid w:val="0"/>
              <w:spacing w:line="240" w:lineRule="auto"/>
              <w:jc w:val="left"/>
              <w:rPr>
                <w:rFonts w:ascii="Times New Roman" w:hAnsi="Times New Roman" w:cs="Times New Roman" w:eastAsiaTheme="minorEastAsia"/>
                <w:sz w:val="18"/>
                <w:szCs w:val="18"/>
              </w:rPr>
            </w:pPr>
            <w:r>
              <w:rPr>
                <w:rFonts w:ascii="Times New Roman" w:hAnsi="Times New Roman" w:eastAsia="Times New Roman" w:cs="Times New Roman"/>
                <w:i/>
                <w:iCs/>
                <w:sz w:val="18"/>
                <w:szCs w:val="18"/>
              </w:rPr>
              <w:t>high_</w:t>
            </w:r>
            <w:r>
              <w:rPr>
                <w:rFonts w:hint="eastAsia" w:ascii="Times New Roman" w:hAnsi="Times New Roman" w:cs="Times New Roman" w:eastAsiaTheme="minorEastAsia"/>
                <w:i/>
                <w:iCs/>
                <w:sz w:val="18"/>
                <w:szCs w:val="18"/>
              </w:rPr>
              <w:t>IND</w:t>
            </w:r>
          </w:p>
        </w:tc>
        <w:tc>
          <w:tcPr>
            <w:tcW w:w="1054" w:type="dxa"/>
            <w:tcBorders>
              <w:top w:val="nil"/>
              <w:bottom w:val="nil"/>
            </w:tcBorders>
          </w:tcPr>
          <w:p w14:paraId="34B687FE">
            <w:pPr>
              <w:widowControl/>
              <w:snapToGrid w:val="0"/>
              <w:spacing w:line="240" w:lineRule="auto"/>
              <w:jc w:val="left"/>
              <w:rPr>
                <w:rFonts w:ascii="Times New Roman" w:hAnsi="Times New Roman" w:cs="Times New Roman" w:eastAsiaTheme="minorEastAsia"/>
                <w:sz w:val="18"/>
                <w:szCs w:val="18"/>
              </w:rPr>
            </w:pPr>
            <w:r>
              <w:rPr>
                <w:rFonts w:ascii="Times New Roman" w:hAnsi="Times New Roman" w:eastAsia="Times New Roman" w:cs="Times New Roman"/>
                <w:i/>
                <w:iCs/>
                <w:sz w:val="18"/>
                <w:szCs w:val="18"/>
              </w:rPr>
              <w:t>low_</w:t>
            </w:r>
            <w:r>
              <w:rPr>
                <w:rFonts w:hint="eastAsia" w:ascii="Times New Roman" w:hAnsi="Times New Roman" w:cs="Times New Roman" w:eastAsiaTheme="minorEastAsia"/>
                <w:i/>
                <w:iCs/>
                <w:sz w:val="18"/>
                <w:szCs w:val="18"/>
              </w:rPr>
              <w:t>IND</w:t>
            </w:r>
          </w:p>
        </w:tc>
        <w:tc>
          <w:tcPr>
            <w:tcW w:w="1054" w:type="dxa"/>
            <w:tcBorders>
              <w:top w:val="nil"/>
              <w:bottom w:val="nil"/>
            </w:tcBorders>
          </w:tcPr>
          <w:p w14:paraId="598BF03E">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cs="Times New Roman" w:eastAsiaTheme="minorEastAsia"/>
                <w:i/>
                <w:iCs/>
                <w:sz w:val="18"/>
                <w:szCs w:val="18"/>
              </w:rPr>
              <w:t>East</w:t>
            </w:r>
          </w:p>
        </w:tc>
        <w:tc>
          <w:tcPr>
            <w:tcW w:w="1054" w:type="dxa"/>
            <w:tcBorders>
              <w:top w:val="nil"/>
              <w:bottom w:val="nil"/>
            </w:tcBorders>
          </w:tcPr>
          <w:p w14:paraId="688C539C">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cs="Times New Roman" w:eastAsiaTheme="minorEastAsia"/>
                <w:i/>
                <w:iCs/>
                <w:sz w:val="18"/>
                <w:szCs w:val="18"/>
              </w:rPr>
              <w:t>C</w:t>
            </w:r>
            <w:r>
              <w:rPr>
                <w:rFonts w:ascii="Times New Roman" w:hAnsi="Times New Roman" w:eastAsia="Times New Roman" w:cs="Times New Roman"/>
                <w:i/>
                <w:iCs/>
                <w:sz w:val="18"/>
                <w:szCs w:val="18"/>
              </w:rPr>
              <w:t>entral</w:t>
            </w:r>
          </w:p>
        </w:tc>
        <w:tc>
          <w:tcPr>
            <w:tcW w:w="1054" w:type="dxa"/>
            <w:tcBorders>
              <w:top w:val="nil"/>
              <w:bottom w:val="nil"/>
            </w:tcBorders>
          </w:tcPr>
          <w:p w14:paraId="6A7086BF">
            <w:pPr>
              <w:widowControl/>
              <w:snapToGrid w:val="0"/>
              <w:spacing w:line="240" w:lineRule="auto"/>
              <w:jc w:val="left"/>
              <w:rPr>
                <w:rFonts w:ascii="Times New Roman" w:hAnsi="Times New Roman" w:eastAsia="宋体" w:cs="Times New Roman"/>
                <w:sz w:val="18"/>
                <w:szCs w:val="18"/>
              </w:rPr>
            </w:pPr>
            <w:r>
              <w:rPr>
                <w:rFonts w:hint="eastAsia" w:ascii="Times New Roman" w:hAnsi="Times New Roman" w:cs="Times New Roman" w:eastAsiaTheme="minorEastAsia"/>
                <w:i/>
                <w:iCs/>
                <w:sz w:val="18"/>
                <w:szCs w:val="18"/>
              </w:rPr>
              <w:t>W</w:t>
            </w:r>
            <w:r>
              <w:rPr>
                <w:rFonts w:ascii="Times New Roman" w:hAnsi="Times New Roman" w:eastAsia="Times New Roman" w:cs="Times New Roman"/>
                <w:i/>
                <w:iCs/>
                <w:sz w:val="18"/>
                <w:szCs w:val="18"/>
              </w:rPr>
              <w:t>est</w:t>
            </w:r>
          </w:p>
        </w:tc>
      </w:tr>
      <w:bookmarkEnd w:id="29"/>
      <w:tr w14:paraId="6CE1C87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45" w:type="dxa"/>
            <w:bottom w:w="0" w:type="dxa"/>
            <w:right w:w="45" w:type="dxa"/>
          </w:tblCellMar>
        </w:tblPrEx>
        <w:trPr>
          <w:trHeight w:val="283" w:hRule="atLeast"/>
        </w:trPr>
        <w:tc>
          <w:tcPr>
            <w:tcW w:w="1168" w:type="dxa"/>
            <w:tcBorders>
              <w:top w:val="single" w:color="auto" w:sz="4" w:space="0"/>
            </w:tcBorders>
          </w:tcPr>
          <w:p w14:paraId="467F6764">
            <w:pPr>
              <w:widowControl/>
              <w:snapToGrid w:val="0"/>
              <w:spacing w:line="240" w:lineRule="auto"/>
              <w:jc w:val="left"/>
              <w:rPr>
                <w:rFonts w:ascii="Times New Roman" w:hAnsi="Times New Roman" w:eastAsia="Times New Roman" w:cs="Times New Roman"/>
                <w:i/>
                <w:iCs/>
                <w:sz w:val="18"/>
                <w:szCs w:val="18"/>
              </w:rPr>
            </w:pPr>
            <w:r>
              <w:rPr>
                <w:rFonts w:hint="eastAsia" w:ascii="Times New Roman" w:hAnsi="Times New Roman" w:eastAsia="宋体" w:cs="Times New Roman"/>
                <w:i/>
                <w:iCs/>
                <w:sz w:val="18"/>
                <w:szCs w:val="18"/>
              </w:rPr>
              <w:t>NTU</w:t>
            </w:r>
          </w:p>
        </w:tc>
        <w:tc>
          <w:tcPr>
            <w:tcW w:w="1054" w:type="dxa"/>
            <w:tcBorders>
              <w:top w:val="single" w:color="auto" w:sz="4" w:space="0"/>
            </w:tcBorders>
          </w:tcPr>
          <w:p w14:paraId="20AE3016">
            <w:pPr>
              <w:widowControl/>
              <w:snapToGrid w:val="0"/>
              <w:spacing w:line="240" w:lineRule="auto"/>
              <w:jc w:val="left"/>
              <w:rPr>
                <w:rFonts w:ascii="Times New Roman" w:hAnsi="Times New Roman" w:eastAsia="宋体" w:cs="Times New Roman"/>
                <w:i/>
                <w:iCs/>
                <w:sz w:val="18"/>
                <w:szCs w:val="18"/>
              </w:rPr>
            </w:pPr>
            <w:r>
              <w:rPr>
                <w:rFonts w:ascii="Times New Roman" w:hAnsi="Times New Roman" w:eastAsia="Times New Roman" w:cs="Times New Roman"/>
                <w:sz w:val="18"/>
                <w:szCs w:val="18"/>
              </w:rPr>
              <w:t>0.0115</w:t>
            </w:r>
          </w:p>
        </w:tc>
        <w:tc>
          <w:tcPr>
            <w:tcW w:w="1053" w:type="dxa"/>
            <w:tcBorders>
              <w:top w:val="single" w:color="auto" w:sz="4" w:space="0"/>
            </w:tcBorders>
          </w:tcPr>
          <w:p w14:paraId="55777DC7">
            <w:pPr>
              <w:widowControl/>
              <w:snapToGrid w:val="0"/>
              <w:spacing w:line="240" w:lineRule="auto"/>
              <w:jc w:val="left"/>
              <w:rPr>
                <w:rFonts w:ascii="Times New Roman" w:hAnsi="Times New Roman" w:eastAsia="宋体" w:cs="Times New Roman"/>
                <w:i/>
                <w:iCs/>
                <w:sz w:val="18"/>
                <w:szCs w:val="18"/>
              </w:rPr>
            </w:pPr>
            <w:r>
              <w:rPr>
                <w:rFonts w:ascii="Times New Roman" w:hAnsi="Times New Roman" w:eastAsia="Times New Roman" w:cs="Times New Roman"/>
                <w:sz w:val="18"/>
                <w:szCs w:val="18"/>
              </w:rPr>
              <w:t>0.7137***</w:t>
            </w:r>
          </w:p>
        </w:tc>
        <w:tc>
          <w:tcPr>
            <w:tcW w:w="1054" w:type="dxa"/>
            <w:tcBorders>
              <w:top w:val="single" w:color="auto" w:sz="4" w:space="0"/>
            </w:tcBorders>
          </w:tcPr>
          <w:p w14:paraId="64212790">
            <w:pPr>
              <w:widowControl/>
              <w:snapToGrid w:val="0"/>
              <w:spacing w:line="240" w:lineRule="auto"/>
              <w:jc w:val="left"/>
              <w:rPr>
                <w:rFonts w:ascii="Times New Roman" w:hAnsi="Times New Roman" w:eastAsia="宋体" w:cs="Times New Roman"/>
                <w:i/>
                <w:iCs/>
                <w:sz w:val="18"/>
                <w:szCs w:val="18"/>
              </w:rPr>
            </w:pPr>
            <w:r>
              <w:rPr>
                <w:rFonts w:ascii="Times New Roman" w:hAnsi="Times New Roman" w:eastAsia="Times New Roman" w:cs="Times New Roman"/>
                <w:sz w:val="18"/>
                <w:szCs w:val="18"/>
              </w:rPr>
              <w:t>0.1032</w:t>
            </w:r>
          </w:p>
        </w:tc>
        <w:tc>
          <w:tcPr>
            <w:tcW w:w="1054" w:type="dxa"/>
            <w:tcBorders>
              <w:top w:val="single" w:color="auto" w:sz="4" w:space="0"/>
            </w:tcBorders>
          </w:tcPr>
          <w:p w14:paraId="66F7AB35">
            <w:pPr>
              <w:widowControl/>
              <w:snapToGrid w:val="0"/>
              <w:spacing w:line="240" w:lineRule="auto"/>
              <w:jc w:val="left"/>
              <w:rPr>
                <w:rFonts w:ascii="Times New Roman" w:hAnsi="Times New Roman" w:eastAsia="宋体" w:cs="Times New Roman"/>
                <w:i/>
                <w:iCs/>
                <w:sz w:val="18"/>
                <w:szCs w:val="18"/>
              </w:rPr>
            </w:pPr>
            <w:r>
              <w:rPr>
                <w:rFonts w:ascii="Times New Roman" w:hAnsi="Times New Roman" w:eastAsia="Times New Roman" w:cs="Times New Roman"/>
                <w:sz w:val="18"/>
                <w:szCs w:val="18"/>
              </w:rPr>
              <w:t>0.7044***</w:t>
            </w:r>
          </w:p>
        </w:tc>
        <w:tc>
          <w:tcPr>
            <w:tcW w:w="1054" w:type="dxa"/>
            <w:tcBorders>
              <w:top w:val="single" w:color="auto" w:sz="4" w:space="0"/>
            </w:tcBorders>
          </w:tcPr>
          <w:p w14:paraId="466FFFAC">
            <w:pPr>
              <w:widowControl/>
              <w:snapToGrid w:val="0"/>
              <w:spacing w:line="240" w:lineRule="auto"/>
              <w:jc w:val="left"/>
              <w:rPr>
                <w:rFonts w:ascii="Times New Roman" w:hAnsi="Times New Roman" w:eastAsia="宋体" w:cs="Times New Roman"/>
                <w:i/>
                <w:iCs/>
                <w:sz w:val="18"/>
                <w:szCs w:val="18"/>
              </w:rPr>
            </w:pPr>
            <w:r>
              <w:rPr>
                <w:rFonts w:ascii="Times New Roman" w:hAnsi="Times New Roman" w:eastAsia="Times New Roman" w:cs="Times New Roman"/>
                <w:sz w:val="18"/>
                <w:szCs w:val="18"/>
              </w:rPr>
              <w:t>0.5478***</w:t>
            </w:r>
          </w:p>
        </w:tc>
        <w:tc>
          <w:tcPr>
            <w:tcW w:w="1054" w:type="dxa"/>
            <w:tcBorders>
              <w:top w:val="single" w:color="auto" w:sz="4" w:space="0"/>
            </w:tcBorders>
          </w:tcPr>
          <w:p w14:paraId="51B04725">
            <w:pPr>
              <w:widowControl/>
              <w:snapToGrid w:val="0"/>
              <w:spacing w:line="240" w:lineRule="auto"/>
              <w:jc w:val="left"/>
              <w:rPr>
                <w:rFonts w:ascii="Times New Roman" w:hAnsi="Times New Roman" w:eastAsia="宋体" w:cs="Times New Roman"/>
                <w:i/>
                <w:iCs/>
                <w:sz w:val="18"/>
                <w:szCs w:val="18"/>
              </w:rPr>
            </w:pPr>
            <w:r>
              <w:rPr>
                <w:rFonts w:ascii="Times New Roman" w:hAnsi="Times New Roman" w:eastAsia="Times New Roman" w:cs="Times New Roman"/>
                <w:sz w:val="18"/>
                <w:szCs w:val="18"/>
              </w:rPr>
              <w:t>0.7218***</w:t>
            </w:r>
          </w:p>
        </w:tc>
        <w:tc>
          <w:tcPr>
            <w:tcW w:w="1054" w:type="dxa"/>
            <w:tcBorders>
              <w:top w:val="single" w:color="auto" w:sz="4" w:space="0"/>
            </w:tcBorders>
          </w:tcPr>
          <w:p w14:paraId="72A6323A">
            <w:pPr>
              <w:widowControl/>
              <w:snapToGrid w:val="0"/>
              <w:spacing w:line="240" w:lineRule="auto"/>
              <w:jc w:val="left"/>
              <w:rPr>
                <w:rFonts w:ascii="Times New Roman" w:hAnsi="Times New Roman" w:eastAsia="宋体" w:cs="Times New Roman"/>
                <w:i/>
                <w:iCs/>
                <w:sz w:val="18"/>
                <w:szCs w:val="18"/>
              </w:rPr>
            </w:pPr>
            <w:r>
              <w:rPr>
                <w:rFonts w:ascii="Times New Roman" w:hAnsi="Times New Roman" w:eastAsia="Times New Roman" w:cs="Times New Roman"/>
                <w:sz w:val="18"/>
                <w:szCs w:val="18"/>
              </w:rPr>
              <w:t>0.1544*</w:t>
            </w:r>
          </w:p>
        </w:tc>
      </w:tr>
      <w:tr w14:paraId="0BA82774">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45" w:type="dxa"/>
            <w:bottom w:w="0" w:type="dxa"/>
            <w:right w:w="45" w:type="dxa"/>
          </w:tblCellMar>
        </w:tblPrEx>
        <w:trPr>
          <w:trHeight w:val="283" w:hRule="atLeast"/>
        </w:trPr>
        <w:tc>
          <w:tcPr>
            <w:tcW w:w="1168" w:type="dxa"/>
          </w:tcPr>
          <w:p w14:paraId="2CD45E90">
            <w:pPr>
              <w:widowControl/>
              <w:snapToGrid w:val="0"/>
              <w:spacing w:line="240" w:lineRule="auto"/>
              <w:jc w:val="left"/>
              <w:rPr>
                <w:rFonts w:ascii="Times New Roman" w:hAnsi="Times New Roman" w:eastAsia="宋体" w:cs="Times New Roman"/>
                <w:i/>
                <w:iCs/>
                <w:sz w:val="18"/>
                <w:szCs w:val="18"/>
              </w:rPr>
            </w:pPr>
          </w:p>
        </w:tc>
        <w:tc>
          <w:tcPr>
            <w:tcW w:w="1054" w:type="dxa"/>
          </w:tcPr>
          <w:p w14:paraId="6A3C925A">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(0.105)</w:t>
            </w:r>
          </w:p>
        </w:tc>
        <w:tc>
          <w:tcPr>
            <w:tcW w:w="1053" w:type="dxa"/>
          </w:tcPr>
          <w:p w14:paraId="30C770F2">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(0.070)</w:t>
            </w:r>
          </w:p>
        </w:tc>
        <w:tc>
          <w:tcPr>
            <w:tcW w:w="1054" w:type="dxa"/>
          </w:tcPr>
          <w:p w14:paraId="6E44BD1E">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(0.091)</w:t>
            </w:r>
          </w:p>
        </w:tc>
        <w:tc>
          <w:tcPr>
            <w:tcW w:w="1054" w:type="dxa"/>
          </w:tcPr>
          <w:p w14:paraId="5E18137E">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(0.047)</w:t>
            </w:r>
          </w:p>
        </w:tc>
        <w:tc>
          <w:tcPr>
            <w:tcW w:w="1054" w:type="dxa"/>
          </w:tcPr>
          <w:p w14:paraId="5CB0C2AE">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(0.083)</w:t>
            </w:r>
          </w:p>
        </w:tc>
        <w:tc>
          <w:tcPr>
            <w:tcW w:w="1054" w:type="dxa"/>
          </w:tcPr>
          <w:p w14:paraId="04297B5C">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(0.070)</w:t>
            </w:r>
          </w:p>
        </w:tc>
        <w:tc>
          <w:tcPr>
            <w:tcW w:w="1054" w:type="dxa"/>
          </w:tcPr>
          <w:p w14:paraId="466E2C59">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(0.080)</w:t>
            </w:r>
          </w:p>
        </w:tc>
      </w:tr>
      <w:tr w14:paraId="3942B436">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45" w:type="dxa"/>
            <w:bottom w:w="0" w:type="dxa"/>
            <w:right w:w="45" w:type="dxa"/>
          </w:tblCellMar>
        </w:tblPrEx>
        <w:trPr>
          <w:trHeight w:val="283" w:hRule="atLeast"/>
        </w:trPr>
        <w:tc>
          <w:tcPr>
            <w:tcW w:w="1168" w:type="dxa"/>
          </w:tcPr>
          <w:p w14:paraId="4CFE4DCE">
            <w:pPr>
              <w:widowControl/>
              <w:snapToGrid w:val="0"/>
              <w:spacing w:line="240" w:lineRule="auto"/>
              <w:jc w:val="left"/>
              <w:rPr>
                <w:rFonts w:ascii="Times New Roman" w:hAnsi="Times New Roman" w:eastAsia="Times New Roman" w:cs="Times New Roman"/>
                <w:i/>
                <w:iCs/>
                <w:sz w:val="18"/>
                <w:szCs w:val="18"/>
              </w:rPr>
            </w:pPr>
            <w:r>
              <w:rPr>
                <w:rFonts w:ascii="Times New Roman" w:hAnsi="Times New Roman" w:eastAsia="Times New Roman" w:cs="Times New Roman"/>
                <w:i/>
                <w:iCs/>
                <w:sz w:val="18"/>
                <w:szCs w:val="18"/>
              </w:rPr>
              <w:t>cons</w:t>
            </w:r>
          </w:p>
        </w:tc>
        <w:tc>
          <w:tcPr>
            <w:tcW w:w="1054" w:type="dxa"/>
          </w:tcPr>
          <w:p w14:paraId="52FBA84F">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0.0919***</w:t>
            </w:r>
          </w:p>
        </w:tc>
        <w:tc>
          <w:tcPr>
            <w:tcW w:w="1053" w:type="dxa"/>
          </w:tcPr>
          <w:p w14:paraId="1B74BBB0">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-0.1175***</w:t>
            </w:r>
          </w:p>
        </w:tc>
        <w:tc>
          <w:tcPr>
            <w:tcW w:w="1054" w:type="dxa"/>
          </w:tcPr>
          <w:p w14:paraId="6851125F">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-0.1552***</w:t>
            </w:r>
          </w:p>
        </w:tc>
        <w:tc>
          <w:tcPr>
            <w:tcW w:w="1054" w:type="dxa"/>
          </w:tcPr>
          <w:p w14:paraId="093AB2A3">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0.0422*</w:t>
            </w:r>
          </w:p>
        </w:tc>
        <w:tc>
          <w:tcPr>
            <w:tcW w:w="1054" w:type="dxa"/>
          </w:tcPr>
          <w:p w14:paraId="2BE3CED0">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-0.2139***</w:t>
            </w:r>
          </w:p>
        </w:tc>
        <w:tc>
          <w:tcPr>
            <w:tcW w:w="1054" w:type="dxa"/>
          </w:tcPr>
          <w:p w14:paraId="5D81D2DC">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0.1670***</w:t>
            </w:r>
          </w:p>
        </w:tc>
        <w:tc>
          <w:tcPr>
            <w:tcW w:w="1054" w:type="dxa"/>
          </w:tcPr>
          <w:p w14:paraId="58831ED5">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0.0630***</w:t>
            </w:r>
          </w:p>
        </w:tc>
      </w:tr>
      <w:tr w14:paraId="45C50812">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45" w:type="dxa"/>
            <w:bottom w:w="0" w:type="dxa"/>
            <w:right w:w="45" w:type="dxa"/>
          </w:tblCellMar>
        </w:tblPrEx>
        <w:trPr>
          <w:trHeight w:val="283" w:hRule="atLeast"/>
        </w:trPr>
        <w:tc>
          <w:tcPr>
            <w:tcW w:w="1168" w:type="dxa"/>
          </w:tcPr>
          <w:p w14:paraId="4F08457F">
            <w:pPr>
              <w:widowControl/>
              <w:snapToGrid w:val="0"/>
              <w:spacing w:line="240" w:lineRule="auto"/>
              <w:jc w:val="left"/>
              <w:rPr>
                <w:rFonts w:ascii="Times New Roman" w:hAnsi="Times New Roman" w:eastAsia="Times New Roman" w:cs="Times New Roman"/>
                <w:i/>
                <w:iCs/>
                <w:sz w:val="18"/>
                <w:szCs w:val="18"/>
              </w:rPr>
            </w:pPr>
          </w:p>
        </w:tc>
        <w:tc>
          <w:tcPr>
            <w:tcW w:w="1054" w:type="dxa"/>
          </w:tcPr>
          <w:p w14:paraId="0B5EF6BA">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(0.026)</w:t>
            </w:r>
          </w:p>
        </w:tc>
        <w:tc>
          <w:tcPr>
            <w:tcW w:w="1053" w:type="dxa"/>
          </w:tcPr>
          <w:p w14:paraId="552BEC06">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(0.040)</w:t>
            </w:r>
          </w:p>
        </w:tc>
        <w:tc>
          <w:tcPr>
            <w:tcW w:w="1054" w:type="dxa"/>
          </w:tcPr>
          <w:p w14:paraId="110A93B3">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(0.044)</w:t>
            </w:r>
          </w:p>
        </w:tc>
        <w:tc>
          <w:tcPr>
            <w:tcW w:w="1054" w:type="dxa"/>
          </w:tcPr>
          <w:p w14:paraId="5DD0F49F">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(0.025)</w:t>
            </w:r>
          </w:p>
        </w:tc>
        <w:tc>
          <w:tcPr>
            <w:tcW w:w="1054" w:type="dxa"/>
          </w:tcPr>
          <w:p w14:paraId="34455340">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(0.063)</w:t>
            </w:r>
          </w:p>
        </w:tc>
        <w:tc>
          <w:tcPr>
            <w:tcW w:w="1054" w:type="dxa"/>
          </w:tcPr>
          <w:p w14:paraId="62978FC5">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(0.052)</w:t>
            </w:r>
          </w:p>
        </w:tc>
        <w:tc>
          <w:tcPr>
            <w:tcW w:w="1054" w:type="dxa"/>
          </w:tcPr>
          <w:p w14:paraId="6B736A61">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(0.019)</w:t>
            </w:r>
          </w:p>
        </w:tc>
      </w:tr>
      <w:tr w14:paraId="138169CD">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45" w:type="dxa"/>
            <w:bottom w:w="0" w:type="dxa"/>
            <w:right w:w="45" w:type="dxa"/>
          </w:tblCellMar>
        </w:tblPrEx>
        <w:trPr>
          <w:trHeight w:val="283" w:hRule="atLeast"/>
        </w:trPr>
        <w:tc>
          <w:tcPr>
            <w:tcW w:w="1168" w:type="dxa"/>
          </w:tcPr>
          <w:p w14:paraId="32D365B1">
            <w:pPr>
              <w:widowControl/>
              <w:snapToGrid w:val="0"/>
              <w:spacing w:line="240" w:lineRule="auto"/>
              <w:jc w:val="left"/>
              <w:rPr>
                <w:rFonts w:ascii="Times New Roman" w:hAnsi="Times New Roman" w:eastAsia="Times New Roman" w:cs="Times New Roman"/>
                <w:i/>
                <w:iCs/>
                <w:sz w:val="18"/>
                <w:szCs w:val="18"/>
              </w:rPr>
            </w:pPr>
            <w:r>
              <w:rPr>
                <w:rFonts w:hint="eastAsia" w:ascii="Times New Roman" w:hAnsi="Times New Roman" w:eastAsia="宋体" w:cs="Times New Roman"/>
                <w:i/>
                <w:iCs/>
                <w:sz w:val="18"/>
                <w:szCs w:val="18"/>
              </w:rPr>
              <w:t>Controls</w:t>
            </w:r>
          </w:p>
        </w:tc>
        <w:tc>
          <w:tcPr>
            <w:tcW w:w="1054" w:type="dxa"/>
          </w:tcPr>
          <w:p w14:paraId="72F11841">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3" w:type="dxa"/>
          </w:tcPr>
          <w:p w14:paraId="263C7777">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78BFE1D3">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7447546F">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6F7F1F08">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7AD667B8">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0E55FAC1">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r>
      <w:tr w14:paraId="303661F7">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45" w:type="dxa"/>
            <w:bottom w:w="0" w:type="dxa"/>
            <w:right w:w="45" w:type="dxa"/>
          </w:tblCellMar>
        </w:tblPrEx>
        <w:trPr>
          <w:trHeight w:val="283" w:hRule="atLeast"/>
        </w:trPr>
        <w:tc>
          <w:tcPr>
            <w:tcW w:w="1168" w:type="dxa"/>
          </w:tcPr>
          <w:p w14:paraId="66C48CFA">
            <w:pPr>
              <w:widowControl/>
              <w:snapToGrid w:val="0"/>
              <w:spacing w:line="240" w:lineRule="auto"/>
              <w:jc w:val="left"/>
              <w:rPr>
                <w:rFonts w:ascii="Times New Roman" w:hAnsi="Times New Roman" w:eastAsia="Times New Roman" w:cs="Times New Roman"/>
                <w:i/>
                <w:iCs/>
                <w:sz w:val="18"/>
                <w:szCs w:val="18"/>
              </w:rPr>
            </w:pPr>
            <w:r>
              <w:rPr>
                <w:rFonts w:hint="eastAsia" w:ascii="Times New Roman" w:hAnsi="Times New Roman" w:eastAsia="宋体" w:cs="Times New Roman"/>
                <w:i/>
                <w:iCs/>
                <w:sz w:val="18"/>
                <w:szCs w:val="18"/>
              </w:rPr>
              <w:t>Year FE</w:t>
            </w:r>
          </w:p>
        </w:tc>
        <w:tc>
          <w:tcPr>
            <w:tcW w:w="1054" w:type="dxa"/>
          </w:tcPr>
          <w:p w14:paraId="1D6132CE">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3" w:type="dxa"/>
          </w:tcPr>
          <w:p w14:paraId="34E6D676">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16BE4D9A">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1DB3D388">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16C6BFEE">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61BDD7CA">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4B0C416A">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r>
      <w:tr w14:paraId="4404A7CE">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45" w:type="dxa"/>
            <w:bottom w:w="0" w:type="dxa"/>
            <w:right w:w="45" w:type="dxa"/>
          </w:tblCellMar>
        </w:tblPrEx>
        <w:trPr>
          <w:trHeight w:val="283" w:hRule="atLeast"/>
        </w:trPr>
        <w:tc>
          <w:tcPr>
            <w:tcW w:w="1168" w:type="dxa"/>
          </w:tcPr>
          <w:p w14:paraId="31590E22">
            <w:pPr>
              <w:widowControl/>
              <w:snapToGrid w:val="0"/>
              <w:spacing w:line="240" w:lineRule="auto"/>
              <w:jc w:val="left"/>
              <w:rPr>
                <w:rFonts w:ascii="Times New Roman" w:hAnsi="Times New Roman" w:eastAsia="Times New Roman" w:cs="Times New Roman"/>
                <w:i/>
                <w:iCs/>
                <w:sz w:val="18"/>
                <w:szCs w:val="18"/>
              </w:rPr>
            </w:pPr>
            <w:r>
              <w:rPr>
                <w:rFonts w:hint="eastAsia" w:ascii="Times New Roman" w:hAnsi="Times New Roman" w:eastAsia="宋体" w:cs="Times New Roman"/>
                <w:i/>
                <w:iCs/>
                <w:sz w:val="18"/>
                <w:szCs w:val="18"/>
              </w:rPr>
              <w:t>Province FE</w:t>
            </w:r>
          </w:p>
        </w:tc>
        <w:tc>
          <w:tcPr>
            <w:tcW w:w="1054" w:type="dxa"/>
          </w:tcPr>
          <w:p w14:paraId="407FFA2E">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3" w:type="dxa"/>
          </w:tcPr>
          <w:p w14:paraId="08AD89A9">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0486CECC">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42B816A4">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2B4963B3">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3982A6DD">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c>
          <w:tcPr>
            <w:tcW w:w="1054" w:type="dxa"/>
          </w:tcPr>
          <w:p w14:paraId="64484825">
            <w:pPr>
              <w:widowControl/>
              <w:snapToGrid w:val="0"/>
              <w:spacing w:line="240" w:lineRule="auto"/>
              <w:jc w:val="left"/>
              <w:rPr>
                <w:rFonts w:ascii="Times New Roman" w:hAnsi="Times New Roman" w:eastAsia="Times New Roman" w:cs="Times New Roman"/>
                <w:sz w:val="18"/>
                <w:szCs w:val="18"/>
              </w:rPr>
            </w:pPr>
            <w:r>
              <w:rPr>
                <w:rFonts w:hint="eastAsia" w:ascii="Times New Roman" w:hAnsi="Times New Roman" w:eastAsia="宋体" w:cs="Times New Roman"/>
                <w:sz w:val="18"/>
                <w:szCs w:val="18"/>
              </w:rPr>
              <w:t>Yes</w:t>
            </w:r>
          </w:p>
        </w:tc>
      </w:tr>
      <w:tr w14:paraId="0360CDD1">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45" w:type="dxa"/>
            <w:bottom w:w="0" w:type="dxa"/>
            <w:right w:w="45" w:type="dxa"/>
          </w:tblCellMar>
        </w:tblPrEx>
        <w:trPr>
          <w:trHeight w:val="283" w:hRule="atLeast"/>
        </w:trPr>
        <w:tc>
          <w:tcPr>
            <w:tcW w:w="1168" w:type="dxa"/>
          </w:tcPr>
          <w:p w14:paraId="01A6670D">
            <w:pPr>
              <w:widowControl/>
              <w:snapToGrid w:val="0"/>
              <w:spacing w:line="240" w:lineRule="auto"/>
              <w:jc w:val="left"/>
              <w:rPr>
                <w:rFonts w:ascii="Times New Roman" w:hAnsi="Times New Roman" w:eastAsia="Times New Roman" w:cs="Times New Roman"/>
                <w:i/>
                <w:iCs/>
                <w:sz w:val="18"/>
                <w:szCs w:val="18"/>
              </w:rPr>
            </w:pPr>
            <w:r>
              <w:rPr>
                <w:rFonts w:ascii="Times New Roman" w:hAnsi="Times New Roman" w:eastAsia="Times New Roman" w:cs="Times New Roman"/>
                <w:i/>
                <w:iCs/>
                <w:sz w:val="18"/>
                <w:szCs w:val="18"/>
              </w:rPr>
              <w:t>N</w:t>
            </w:r>
          </w:p>
        </w:tc>
        <w:tc>
          <w:tcPr>
            <w:tcW w:w="1054" w:type="dxa"/>
          </w:tcPr>
          <w:p w14:paraId="67CC0FB3">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137</w:t>
            </w:r>
          </w:p>
        </w:tc>
        <w:tc>
          <w:tcPr>
            <w:tcW w:w="1053" w:type="dxa"/>
          </w:tcPr>
          <w:p w14:paraId="1A8325CA">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223</w:t>
            </w:r>
          </w:p>
        </w:tc>
        <w:tc>
          <w:tcPr>
            <w:tcW w:w="1054" w:type="dxa"/>
          </w:tcPr>
          <w:p w14:paraId="344D7A92">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101</w:t>
            </w:r>
          </w:p>
        </w:tc>
        <w:tc>
          <w:tcPr>
            <w:tcW w:w="1054" w:type="dxa"/>
          </w:tcPr>
          <w:p w14:paraId="1B63F1C2">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259</w:t>
            </w:r>
          </w:p>
        </w:tc>
        <w:tc>
          <w:tcPr>
            <w:tcW w:w="1054" w:type="dxa"/>
          </w:tcPr>
          <w:p w14:paraId="643E5439">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144</w:t>
            </w:r>
          </w:p>
        </w:tc>
        <w:tc>
          <w:tcPr>
            <w:tcW w:w="1054" w:type="dxa"/>
          </w:tcPr>
          <w:p w14:paraId="46320A1D">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108</w:t>
            </w:r>
          </w:p>
        </w:tc>
        <w:tc>
          <w:tcPr>
            <w:tcW w:w="1054" w:type="dxa"/>
          </w:tcPr>
          <w:p w14:paraId="08BADA99">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108</w:t>
            </w:r>
          </w:p>
        </w:tc>
      </w:tr>
      <w:tr w14:paraId="378161B9">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CellMar>
            <w:top w:w="0" w:type="dxa"/>
            <w:left w:w="45" w:type="dxa"/>
            <w:bottom w:w="0" w:type="dxa"/>
            <w:right w:w="45" w:type="dxa"/>
          </w:tblCellMar>
        </w:tblPrEx>
        <w:trPr>
          <w:trHeight w:val="283" w:hRule="atLeast"/>
        </w:trPr>
        <w:tc>
          <w:tcPr>
            <w:tcW w:w="1168" w:type="dxa"/>
            <w:tcBorders>
              <w:bottom w:val="single" w:color="auto" w:sz="12" w:space="0"/>
            </w:tcBorders>
          </w:tcPr>
          <w:p w14:paraId="33C4812D">
            <w:pPr>
              <w:widowControl/>
              <w:snapToGrid w:val="0"/>
              <w:spacing w:line="240" w:lineRule="auto"/>
              <w:jc w:val="left"/>
              <w:rPr>
                <w:rFonts w:ascii="Times New Roman" w:hAnsi="Times New Roman" w:eastAsia="Times New Roman" w:cs="Times New Roman"/>
                <w:i/>
                <w:iCs/>
                <w:sz w:val="18"/>
                <w:szCs w:val="18"/>
              </w:rPr>
            </w:pPr>
            <w:r>
              <w:rPr>
                <w:rFonts w:ascii="Times New Roman" w:hAnsi="Times New Roman" w:eastAsia="Times New Roman" w:cs="Times New Roman"/>
                <w:i/>
                <w:iCs/>
                <w:sz w:val="18"/>
                <w:szCs w:val="18"/>
              </w:rPr>
              <w:t>R</w:t>
            </w:r>
            <w:r>
              <w:rPr>
                <w:rFonts w:ascii="Times New Roman" w:hAnsi="Times New Roman" w:eastAsia="Times New Roman" w:cs="Times New Roman"/>
                <w:i/>
                <w:iCs/>
                <w:sz w:val="18"/>
                <w:szCs w:val="18"/>
                <w:vertAlign w:val="superscript"/>
              </w:rPr>
              <w:t>2</w:t>
            </w:r>
          </w:p>
        </w:tc>
        <w:tc>
          <w:tcPr>
            <w:tcW w:w="1054" w:type="dxa"/>
            <w:tcBorders>
              <w:bottom w:val="single" w:color="auto" w:sz="12" w:space="0"/>
            </w:tcBorders>
          </w:tcPr>
          <w:p w14:paraId="149C624F">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0.9716</w:t>
            </w:r>
          </w:p>
        </w:tc>
        <w:tc>
          <w:tcPr>
            <w:tcW w:w="1053" w:type="dxa"/>
            <w:tcBorders>
              <w:bottom w:val="single" w:color="auto" w:sz="12" w:space="0"/>
            </w:tcBorders>
          </w:tcPr>
          <w:p w14:paraId="4E7424B3">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0.9539</w:t>
            </w:r>
          </w:p>
        </w:tc>
        <w:tc>
          <w:tcPr>
            <w:tcW w:w="1054" w:type="dxa"/>
            <w:tcBorders>
              <w:bottom w:val="single" w:color="auto" w:sz="12" w:space="0"/>
            </w:tcBorders>
          </w:tcPr>
          <w:p w14:paraId="58B0C31D">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0.9742</w:t>
            </w:r>
          </w:p>
        </w:tc>
        <w:tc>
          <w:tcPr>
            <w:tcW w:w="1054" w:type="dxa"/>
            <w:tcBorders>
              <w:bottom w:val="single" w:color="auto" w:sz="12" w:space="0"/>
            </w:tcBorders>
          </w:tcPr>
          <w:p w14:paraId="103A1272">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0.9712</w:t>
            </w:r>
          </w:p>
        </w:tc>
        <w:tc>
          <w:tcPr>
            <w:tcW w:w="1054" w:type="dxa"/>
            <w:tcBorders>
              <w:bottom w:val="single" w:color="auto" w:sz="12" w:space="0"/>
            </w:tcBorders>
          </w:tcPr>
          <w:p w14:paraId="1EE249E7">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0.9389</w:t>
            </w:r>
          </w:p>
        </w:tc>
        <w:tc>
          <w:tcPr>
            <w:tcW w:w="1054" w:type="dxa"/>
            <w:tcBorders>
              <w:bottom w:val="single" w:color="auto" w:sz="12" w:space="0"/>
            </w:tcBorders>
          </w:tcPr>
          <w:p w14:paraId="6A39D604">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0.9821</w:t>
            </w:r>
          </w:p>
        </w:tc>
        <w:tc>
          <w:tcPr>
            <w:tcW w:w="1054" w:type="dxa"/>
            <w:tcBorders>
              <w:bottom w:val="single" w:color="auto" w:sz="12" w:space="0"/>
            </w:tcBorders>
          </w:tcPr>
          <w:p w14:paraId="47D45302">
            <w:pPr>
              <w:widowControl/>
              <w:snapToGrid w:val="0"/>
              <w:spacing w:line="240" w:lineRule="auto"/>
              <w:jc w:val="left"/>
              <w:rPr>
                <w:rFonts w:ascii="Times New Roman" w:hAnsi="Times New Roman" w:eastAsia="Times New Roman" w:cs="Times New Roman"/>
                <w:sz w:val="18"/>
                <w:szCs w:val="18"/>
              </w:rPr>
            </w:pPr>
            <w:r>
              <w:rPr>
                <w:rFonts w:ascii="Times New Roman" w:hAnsi="Times New Roman" w:eastAsia="Times New Roman" w:cs="Times New Roman"/>
                <w:sz w:val="18"/>
                <w:szCs w:val="18"/>
              </w:rPr>
              <w:t>0.9865</w:t>
            </w:r>
          </w:p>
        </w:tc>
      </w:tr>
    </w:tbl>
    <w:p w14:paraId="54719792">
      <w:pPr>
        <w:widowControl/>
        <w:spacing w:line="480" w:lineRule="auto"/>
        <w:rPr>
          <w:rFonts w:ascii="Times New Roman" w:hAnsi="Times New Roman" w:eastAsia="宋体" w:cs="Times New Roman"/>
          <w:sz w:val="18"/>
          <w:szCs w:val="18"/>
        </w:rPr>
      </w:pPr>
      <w:r>
        <w:rPr>
          <w:rFonts w:ascii="Times New Roman" w:hAnsi="Times New Roman" w:eastAsia="宋体" w:cs="Times New Roman"/>
          <w:sz w:val="18"/>
          <w:szCs w:val="18"/>
        </w:rPr>
        <w:t>Note: ***, ** and * denote significance levels of 1 %, 5 % and 10 %.</w:t>
      </w:r>
    </w:p>
    <w:p w14:paraId="750F0906">
      <w:pPr>
        <w:spacing w:after="120" w:afterLines="50" w:line="480" w:lineRule="auto"/>
        <w:rPr>
          <w:rFonts w:hint="eastAsia" w:ascii="Times New Roman" w:hAnsi="Times New Roman" w:cs="Times New Roman"/>
          <w:b/>
          <w:bCs/>
          <w:szCs w:val="24"/>
        </w:rPr>
      </w:pPr>
      <w:bookmarkStart w:id="30" w:name="OLE_LINK22"/>
    </w:p>
    <w:p w14:paraId="22004E21">
      <w:pPr>
        <w:spacing w:after="120" w:afterLines="50" w:line="480" w:lineRule="auto"/>
        <w:rPr>
          <w:rFonts w:ascii="Times New Roman" w:hAnsi="Times New Roman" w:cs="Times New Roman"/>
          <w:b/>
          <w:bCs/>
          <w:szCs w:val="24"/>
        </w:rPr>
      </w:pPr>
      <w:r>
        <w:rPr>
          <w:rFonts w:hint="eastAsia" w:ascii="Times New Roman" w:hAnsi="Times New Roman" w:cs="Times New Roman"/>
          <w:b/>
          <w:bCs/>
          <w:szCs w:val="24"/>
        </w:rPr>
        <w:t xml:space="preserve">5. </w:t>
      </w:r>
      <w:r>
        <w:rPr>
          <w:rFonts w:ascii="Times New Roman" w:hAnsi="Times New Roman" w:cs="Times New Roman"/>
          <w:b/>
          <w:bCs/>
          <w:szCs w:val="24"/>
        </w:rPr>
        <w:t>Conclusions, Policy Implications, and Limitations</w:t>
      </w:r>
    </w:p>
    <w:p w14:paraId="00C20728">
      <w:pPr>
        <w:spacing w:after="120" w:afterLines="50" w:line="480" w:lineRule="auto"/>
        <w:rPr>
          <w:rFonts w:ascii="Times New Roman" w:hAnsi="Times New Roman" w:cs="Times New Roman"/>
          <w:b/>
          <w:bCs/>
          <w:szCs w:val="24"/>
        </w:rPr>
      </w:pPr>
      <w:bookmarkStart w:id="31" w:name="OLE_LINK3"/>
      <w:r>
        <w:rPr>
          <w:rFonts w:hint="eastAsia" w:ascii="Times New Roman" w:hAnsi="Times New Roman" w:cs="Times New Roman"/>
          <w:b/>
          <w:bCs/>
          <w:szCs w:val="24"/>
        </w:rPr>
        <w:t xml:space="preserve">5.1. </w:t>
      </w:r>
      <w:r>
        <w:rPr>
          <w:rFonts w:ascii="Times New Roman" w:hAnsi="Times New Roman" w:cs="Times New Roman"/>
          <w:b/>
          <w:bCs/>
          <w:szCs w:val="24"/>
        </w:rPr>
        <w:t>Conclusions</w:t>
      </w:r>
    </w:p>
    <w:bookmarkEnd w:id="31"/>
    <w:p w14:paraId="2E9941BB">
      <w:pPr>
        <w:spacing w:after="120" w:afterLines="50" w:line="480" w:lineRule="auto"/>
        <w:ind w:firstLine="482"/>
        <w:rPr>
          <w:rFonts w:ascii="Times New Roman" w:hAnsi="Times New Roman" w:cs="Times New Roman"/>
          <w:szCs w:val="24"/>
        </w:rPr>
      </w:pPr>
      <w:r>
        <w:rPr>
          <w:rFonts w:ascii="Times New Roman" w:hAnsi="Times New Roman" w:cs="Times New Roman"/>
          <w:szCs w:val="24"/>
        </w:rPr>
        <w:t xml:space="preserve">The development of NTU constitutes a critical pathway for enhancing the resilience of agricultural systems against external shocks. Based on panel data from 30 Chinese provinces </w:t>
      </w:r>
      <w:r>
        <w:rPr>
          <w:rFonts w:hint="eastAsia" w:ascii="Times New Roman" w:hAnsi="Times New Roman" w:cs="Times New Roman"/>
          <w:szCs w:val="24"/>
        </w:rPr>
        <w:t>spanning</w:t>
      </w:r>
      <w:r>
        <w:rPr>
          <w:rFonts w:ascii="Times New Roman" w:hAnsi="Times New Roman" w:cs="Times New Roman"/>
          <w:szCs w:val="24"/>
        </w:rPr>
        <w:t xml:space="preserve"> the period </w:t>
      </w:r>
      <w:r>
        <w:rPr>
          <w:rFonts w:hint="eastAsia" w:ascii="Times New Roman" w:hAnsi="Times New Roman" w:cs="Times New Roman"/>
          <w:szCs w:val="24"/>
        </w:rPr>
        <w:t xml:space="preserve">from </w:t>
      </w:r>
      <w:r>
        <w:rPr>
          <w:rFonts w:ascii="Times New Roman" w:hAnsi="Times New Roman" w:cs="Times New Roman"/>
          <w:szCs w:val="24"/>
        </w:rPr>
        <w:t>2012</w:t>
      </w:r>
      <w:r>
        <w:rPr>
          <w:rFonts w:hint="eastAsia" w:ascii="Times New Roman" w:hAnsi="Times New Roman" w:cs="Times New Roman"/>
          <w:szCs w:val="24"/>
        </w:rPr>
        <w:t xml:space="preserve"> to </w:t>
      </w:r>
      <w:r>
        <w:rPr>
          <w:rFonts w:ascii="Times New Roman" w:hAnsi="Times New Roman" w:cs="Times New Roman"/>
          <w:szCs w:val="24"/>
        </w:rPr>
        <w:t>2023, a two-way fixed effects model was employed to systematically examine the impact of NTU on AER and its underlying mechanisms.</w:t>
      </w:r>
    </w:p>
    <w:p w14:paraId="487B5F40">
      <w:pPr>
        <w:spacing w:after="120" w:afterLines="50" w:line="480" w:lineRule="auto"/>
        <w:ind w:firstLine="482"/>
        <w:rPr>
          <w:rFonts w:ascii="Times New Roman" w:hAnsi="Times New Roman" w:cs="Times New Roman"/>
          <w:szCs w:val="24"/>
        </w:rPr>
      </w:pPr>
      <w:r>
        <w:rPr>
          <w:rFonts w:ascii="Times New Roman" w:hAnsi="Times New Roman" w:cs="Times New Roman"/>
          <w:szCs w:val="24"/>
        </w:rPr>
        <w:t xml:space="preserve">The results </w:t>
      </w:r>
      <w:r>
        <w:rPr>
          <w:rFonts w:hint="eastAsia" w:ascii="Times New Roman" w:hAnsi="Times New Roman" w:cs="Times New Roman"/>
          <w:szCs w:val="24"/>
        </w:rPr>
        <w:t>reveal</w:t>
      </w:r>
      <w:r>
        <w:rPr>
          <w:rFonts w:ascii="Times New Roman" w:hAnsi="Times New Roman" w:cs="Times New Roman"/>
          <w:szCs w:val="24"/>
        </w:rPr>
        <w:t xml:space="preserve"> that NTU </w:t>
      </w:r>
      <w:r>
        <w:rPr>
          <w:rFonts w:hint="eastAsia" w:ascii="Times New Roman" w:hAnsi="Times New Roman" w:cs="Times New Roman"/>
          <w:szCs w:val="24"/>
        </w:rPr>
        <w:t xml:space="preserve">exerts a </w:t>
      </w:r>
      <w:r>
        <w:rPr>
          <w:rFonts w:ascii="Times New Roman" w:hAnsi="Times New Roman" w:cs="Times New Roman"/>
          <w:szCs w:val="24"/>
        </w:rPr>
        <w:t>significant</w:t>
      </w:r>
      <w:r>
        <w:rPr>
          <w:rFonts w:hint="eastAsia" w:ascii="Times New Roman" w:hAnsi="Times New Roman" w:cs="Times New Roman"/>
          <w:szCs w:val="24"/>
        </w:rPr>
        <w:t xml:space="preserve"> and positive effect on</w:t>
      </w:r>
      <w:r>
        <w:rPr>
          <w:rFonts w:ascii="Times New Roman" w:hAnsi="Times New Roman" w:cs="Times New Roman"/>
          <w:szCs w:val="24"/>
        </w:rPr>
        <w:t xml:space="preserve"> AER</w:t>
      </w:r>
      <w:r>
        <w:rPr>
          <w:rFonts w:hint="eastAsia" w:ascii="Times New Roman" w:hAnsi="Times New Roman" w:cs="Times New Roman"/>
          <w:szCs w:val="24"/>
        </w:rPr>
        <w:t xml:space="preserve">. This result </w:t>
      </w:r>
      <w:r>
        <w:rPr>
          <w:rFonts w:ascii="Times New Roman" w:hAnsi="Times New Roman" w:cs="Times New Roman"/>
          <w:szCs w:val="24"/>
        </w:rPr>
        <w:t xml:space="preserve">remains robust across </w:t>
      </w:r>
      <w:r>
        <w:rPr>
          <w:rFonts w:hint="eastAsia" w:ascii="Times New Roman" w:hAnsi="Times New Roman" w:cs="Times New Roman"/>
          <w:szCs w:val="24"/>
        </w:rPr>
        <w:t>a series of</w:t>
      </w:r>
      <w:r>
        <w:rPr>
          <w:rFonts w:ascii="Times New Roman" w:hAnsi="Times New Roman" w:cs="Times New Roman"/>
          <w:szCs w:val="24"/>
        </w:rPr>
        <w:t xml:space="preserve"> sensitivity tests, </w:t>
      </w:r>
      <w:r>
        <w:rPr>
          <w:rFonts w:hint="eastAsia" w:ascii="Times New Roman" w:hAnsi="Times New Roman" w:cs="Times New Roman"/>
          <w:szCs w:val="24"/>
        </w:rPr>
        <w:t xml:space="preserve">confirming </w:t>
      </w:r>
      <w:r>
        <w:rPr>
          <w:rFonts w:ascii="Times New Roman" w:hAnsi="Times New Roman" w:cs="Times New Roman"/>
          <w:szCs w:val="24"/>
        </w:rPr>
        <w:t xml:space="preserve">the stability and reliability of the </w:t>
      </w:r>
      <w:r>
        <w:rPr>
          <w:rFonts w:hint="eastAsia" w:ascii="Times New Roman" w:hAnsi="Times New Roman" w:cs="Times New Roman"/>
          <w:szCs w:val="24"/>
        </w:rPr>
        <w:t>baseline estimates</w:t>
      </w:r>
      <w:r>
        <w:rPr>
          <w:rFonts w:ascii="Times New Roman" w:hAnsi="Times New Roman" w:cs="Times New Roman"/>
          <w:szCs w:val="24"/>
        </w:rPr>
        <w:t xml:space="preserve">. Beyond its direct impact, NTU also indirectly strengthens AER by </w:t>
      </w:r>
      <w:r>
        <w:rPr>
          <w:rFonts w:hint="eastAsia" w:ascii="Times New Roman" w:hAnsi="Times New Roman" w:cs="Times New Roman"/>
          <w:szCs w:val="24"/>
        </w:rPr>
        <w:t>fostering</w:t>
      </w:r>
      <w:r>
        <w:rPr>
          <w:rFonts w:ascii="Times New Roman" w:hAnsi="Times New Roman" w:cs="Times New Roman"/>
          <w:szCs w:val="24"/>
        </w:rPr>
        <w:t xml:space="preserve"> GTI and stimulating AEA, highlighting the important mediating mechanisms through which urbanization influences agricultural systems. Moreover, GF</w:t>
      </w:r>
      <w:r>
        <w:rPr>
          <w:rFonts w:hint="eastAsia" w:ascii="Times New Roman" w:hAnsi="Times New Roman" w:cs="Times New Roman"/>
          <w:szCs w:val="24"/>
        </w:rPr>
        <w:t>I</w:t>
      </w:r>
      <w:r>
        <w:rPr>
          <w:rFonts w:ascii="Times New Roman" w:hAnsi="Times New Roman" w:cs="Times New Roman"/>
          <w:szCs w:val="24"/>
        </w:rPr>
        <w:t xml:space="preserve"> and </w:t>
      </w:r>
      <w:r>
        <w:rPr>
          <w:rFonts w:hint="eastAsia" w:ascii="Times New Roman" w:hAnsi="Times New Roman" w:cs="Times New Roman"/>
          <w:szCs w:val="24"/>
        </w:rPr>
        <w:t xml:space="preserve">a </w:t>
      </w:r>
      <w:r>
        <w:rPr>
          <w:rFonts w:ascii="Times New Roman" w:hAnsi="Times New Roman" w:cs="Times New Roman"/>
          <w:szCs w:val="24"/>
        </w:rPr>
        <w:t>higher APR</w:t>
      </w:r>
      <w:r>
        <w:rPr>
          <w:rFonts w:hint="eastAsia" w:ascii="Times New Roman" w:hAnsi="Times New Roman" w:cs="Times New Roman"/>
          <w:szCs w:val="24"/>
        </w:rPr>
        <w:t xml:space="preserve"> serve as</w:t>
      </w:r>
      <w:r>
        <w:rPr>
          <w:rFonts w:ascii="Times New Roman" w:hAnsi="Times New Roman" w:cs="Times New Roman"/>
          <w:szCs w:val="24"/>
        </w:rPr>
        <w:t xml:space="preserve"> positive moderat</w:t>
      </w:r>
      <w:r>
        <w:rPr>
          <w:rFonts w:hint="eastAsia" w:ascii="Times New Roman" w:hAnsi="Times New Roman" w:cs="Times New Roman"/>
          <w:szCs w:val="24"/>
        </w:rPr>
        <w:t>ors</w:t>
      </w:r>
      <w:r>
        <w:rPr>
          <w:rFonts w:ascii="Times New Roman" w:hAnsi="Times New Roman" w:cs="Times New Roman"/>
          <w:szCs w:val="24"/>
        </w:rPr>
        <w:t xml:space="preserve">, further </w:t>
      </w:r>
      <w:r>
        <w:rPr>
          <w:rFonts w:hint="eastAsia" w:ascii="Times New Roman" w:hAnsi="Times New Roman" w:cs="Times New Roman"/>
          <w:szCs w:val="24"/>
        </w:rPr>
        <w:t>reinforcing</w:t>
      </w:r>
      <w:r>
        <w:rPr>
          <w:rFonts w:ascii="Times New Roman" w:hAnsi="Times New Roman" w:cs="Times New Roman"/>
          <w:szCs w:val="24"/>
        </w:rPr>
        <w:t xml:space="preserve"> the beneficial </w:t>
      </w:r>
      <w:r>
        <w:rPr>
          <w:rFonts w:hint="eastAsia" w:ascii="Times New Roman" w:hAnsi="Times New Roman" w:cs="Times New Roman"/>
          <w:szCs w:val="24"/>
        </w:rPr>
        <w:t>relationship between</w:t>
      </w:r>
      <w:r>
        <w:rPr>
          <w:rFonts w:ascii="Times New Roman" w:hAnsi="Times New Roman" w:cs="Times New Roman"/>
          <w:szCs w:val="24"/>
        </w:rPr>
        <w:t xml:space="preserve"> NTU</w:t>
      </w:r>
      <w:r>
        <w:rPr>
          <w:rFonts w:hint="eastAsia" w:ascii="Times New Roman" w:hAnsi="Times New Roman" w:cs="Times New Roman"/>
          <w:szCs w:val="24"/>
        </w:rPr>
        <w:t xml:space="preserve"> and AER</w:t>
      </w:r>
      <w:r>
        <w:rPr>
          <w:rFonts w:ascii="Times New Roman" w:hAnsi="Times New Roman" w:cs="Times New Roman"/>
          <w:szCs w:val="24"/>
        </w:rPr>
        <w:t xml:space="preserve">. Heterogeneity analysis further </w:t>
      </w:r>
      <w:r>
        <w:rPr>
          <w:rFonts w:hint="eastAsia" w:ascii="Times New Roman" w:hAnsi="Times New Roman" w:cs="Times New Roman"/>
          <w:szCs w:val="24"/>
        </w:rPr>
        <w:t>indicate</w:t>
      </w:r>
      <w:r>
        <w:rPr>
          <w:rFonts w:ascii="Times New Roman" w:hAnsi="Times New Roman" w:cs="Times New Roman"/>
          <w:szCs w:val="24"/>
        </w:rPr>
        <w:t>s that the positive impact of NTU on AER is more pronounced in provinces characterized by lower GOV and</w:t>
      </w:r>
      <w:r>
        <w:rPr>
          <w:rFonts w:hint="eastAsia" w:ascii="Times New Roman" w:hAnsi="Times New Roman" w:cs="Times New Roman"/>
          <w:szCs w:val="24"/>
        </w:rPr>
        <w:t xml:space="preserve"> less advanced</w:t>
      </w:r>
      <w:r>
        <w:rPr>
          <w:rFonts w:ascii="Times New Roman" w:hAnsi="Times New Roman" w:cs="Times New Roman"/>
          <w:szCs w:val="24"/>
        </w:rPr>
        <w:t xml:space="preserve"> IND. Marked regional disparities are also observed, with eastern and central China experiencing stronger benefits relative to western regions.</w:t>
      </w:r>
    </w:p>
    <w:p w14:paraId="4002080F">
      <w:pPr>
        <w:spacing w:after="120" w:afterLines="50" w:line="480" w:lineRule="auto"/>
        <w:rPr>
          <w:rFonts w:hint="eastAsia" w:ascii="Times New Roman" w:hAnsi="Times New Roman" w:cs="Times New Roman"/>
          <w:b/>
          <w:bCs/>
          <w:szCs w:val="24"/>
        </w:rPr>
      </w:pPr>
      <w:r>
        <w:rPr>
          <w:rFonts w:hint="eastAsia" w:ascii="Times New Roman" w:hAnsi="Times New Roman" w:cs="Times New Roman"/>
          <w:b/>
          <w:bCs/>
          <w:szCs w:val="24"/>
        </w:rPr>
        <w:t>5.2. Policy Implications</w:t>
      </w:r>
    </w:p>
    <w:p w14:paraId="28FBF587">
      <w:pPr>
        <w:spacing w:after="120" w:afterLines="50" w:line="480" w:lineRule="auto"/>
        <w:ind w:firstLine="482"/>
        <w:rPr>
          <w:rFonts w:ascii="Times New Roman" w:hAnsi="Times New Roman" w:cs="Times New Roman"/>
          <w:szCs w:val="24"/>
        </w:rPr>
      </w:pPr>
      <w:r>
        <w:rPr>
          <w:rFonts w:ascii="Times New Roman" w:hAnsi="Times New Roman" w:cs="Times New Roman"/>
          <w:szCs w:val="24"/>
        </w:rPr>
        <w:t>These</w:t>
      </w:r>
      <w:r>
        <w:rPr>
          <w:rFonts w:hint="eastAsia" w:ascii="Times New Roman" w:hAnsi="Times New Roman" w:cs="Times New Roman"/>
          <w:szCs w:val="24"/>
        </w:rPr>
        <w:t xml:space="preserve"> empirical</w:t>
      </w:r>
      <w:r>
        <w:rPr>
          <w:rFonts w:ascii="Times New Roman" w:hAnsi="Times New Roman" w:cs="Times New Roman"/>
          <w:szCs w:val="24"/>
        </w:rPr>
        <w:t xml:space="preserve"> findings suggest several targeted policy measure</w:t>
      </w:r>
      <w:r>
        <w:rPr>
          <w:rFonts w:hint="eastAsia" w:ascii="Times New Roman" w:hAnsi="Times New Roman" w:cs="Times New Roman"/>
          <w:szCs w:val="24"/>
        </w:rPr>
        <w:t>s</w:t>
      </w:r>
      <w:r>
        <w:rPr>
          <w:rFonts w:ascii="Times New Roman" w:hAnsi="Times New Roman" w:cs="Times New Roman"/>
          <w:szCs w:val="24"/>
        </w:rPr>
        <w:t xml:space="preserve"> for enhancing AER. </w:t>
      </w:r>
    </w:p>
    <w:p w14:paraId="6506F9DB">
      <w:pPr>
        <w:spacing w:after="120" w:afterLines="50" w:line="480" w:lineRule="auto"/>
        <w:ind w:firstLine="482"/>
        <w:rPr>
          <w:rFonts w:ascii="Times New Roman" w:hAnsi="Times New Roman" w:cs="Times New Roman"/>
          <w:szCs w:val="24"/>
        </w:rPr>
      </w:pPr>
      <w:r>
        <w:rPr>
          <w:rFonts w:hint="eastAsia" w:ascii="Times New Roman" w:hAnsi="Times New Roman" w:cs="Times New Roman"/>
          <w:b w:val="0"/>
          <w:bCs w:val="0"/>
          <w:szCs w:val="24"/>
        </w:rPr>
        <w:t>Firstly, it is essential to c</w:t>
      </w:r>
      <w:r>
        <w:rPr>
          <w:rFonts w:ascii="Times New Roman" w:hAnsi="Times New Roman" w:cs="Times New Roman"/>
          <w:b w:val="0"/>
          <w:bCs w:val="0"/>
          <w:szCs w:val="24"/>
        </w:rPr>
        <w:t>ontinuous</w:t>
      </w:r>
      <w:r>
        <w:rPr>
          <w:rFonts w:hint="eastAsia" w:ascii="Times New Roman" w:hAnsi="Times New Roman" w:cs="Times New Roman"/>
          <w:b w:val="0"/>
          <w:bCs w:val="0"/>
          <w:szCs w:val="24"/>
        </w:rPr>
        <w:t>ly</w:t>
      </w:r>
      <w:r>
        <w:rPr>
          <w:rFonts w:ascii="Times New Roman" w:hAnsi="Times New Roman" w:cs="Times New Roman"/>
          <w:b w:val="0"/>
          <w:bCs w:val="0"/>
          <w:szCs w:val="24"/>
        </w:rPr>
        <w:t xml:space="preserve"> advance</w:t>
      </w:r>
      <w:r>
        <w:rPr>
          <w:rFonts w:hint="eastAsia" w:ascii="Times New Roman" w:hAnsi="Times New Roman" w:cs="Times New Roman"/>
          <w:b w:val="0"/>
          <w:bCs w:val="0"/>
          <w:szCs w:val="24"/>
        </w:rPr>
        <w:t xml:space="preserve"> </w:t>
      </w:r>
      <w:r>
        <w:rPr>
          <w:rFonts w:ascii="Times New Roman" w:hAnsi="Times New Roman" w:cs="Times New Roman"/>
          <w:b w:val="0"/>
          <w:bCs w:val="0"/>
          <w:szCs w:val="24"/>
        </w:rPr>
        <w:t>high-quality NTU</w:t>
      </w:r>
      <w:r>
        <w:rPr>
          <w:rFonts w:ascii="Times New Roman" w:hAnsi="Times New Roman" w:cs="Times New Roman"/>
          <w:szCs w:val="24"/>
        </w:rPr>
        <w:t xml:space="preserve"> to create a stable and efficient institutional and environmental foundation for agricultural systems. This can be</w:t>
      </w:r>
      <w:r>
        <w:rPr>
          <w:rFonts w:hint="eastAsia" w:ascii="Times New Roman" w:hAnsi="Times New Roman" w:cs="Times New Roman"/>
          <w:szCs w:val="24"/>
        </w:rPr>
        <w:t xml:space="preserve"> </w:t>
      </w:r>
      <w:r>
        <w:rPr>
          <w:rFonts w:ascii="Times New Roman" w:hAnsi="Times New Roman" w:cs="Times New Roman"/>
          <w:szCs w:val="24"/>
        </w:rPr>
        <w:t>realized by enhancing rural infrastructure and public service, facilitating resource flows between urban and rural areas. Special attention should be placed on upgrading</w:t>
      </w:r>
      <w:r>
        <w:rPr>
          <w:rFonts w:hint="eastAsia" w:ascii="Times New Roman" w:hAnsi="Times New Roman" w:cs="Times New Roman"/>
          <w:szCs w:val="24"/>
        </w:rPr>
        <w:t xml:space="preserve"> </w:t>
      </w:r>
      <w:r>
        <w:rPr>
          <w:rFonts w:ascii="Times New Roman" w:hAnsi="Times New Roman" w:cs="Times New Roman"/>
          <w:szCs w:val="24"/>
        </w:rPr>
        <w:t>transportation, irrigation, and power facilities,</w:t>
      </w:r>
      <w:r>
        <w:rPr>
          <w:rFonts w:hint="eastAsia" w:ascii="Times New Roman" w:hAnsi="Times New Roman" w:cs="Times New Roman"/>
          <w:szCs w:val="24"/>
        </w:rPr>
        <w:t xml:space="preserve"> </w:t>
      </w:r>
      <w:r>
        <w:rPr>
          <w:rFonts w:ascii="Times New Roman" w:hAnsi="Times New Roman" w:cs="Times New Roman"/>
          <w:szCs w:val="24"/>
        </w:rPr>
        <w:t>as well as optimizing the distribution and production conditions for agricultural products, thereby improving the capacity of agricultural systems to cope with natural disasters and market volatility.</w:t>
      </w:r>
    </w:p>
    <w:p w14:paraId="57AC4124">
      <w:pPr>
        <w:spacing w:after="120" w:afterLines="50" w:line="480" w:lineRule="auto"/>
        <w:ind w:firstLine="482"/>
        <w:rPr>
          <w:rFonts w:ascii="Times New Roman" w:hAnsi="Times New Roman" w:cs="Times New Roman"/>
          <w:szCs w:val="24"/>
        </w:rPr>
      </w:pPr>
      <w:r>
        <w:rPr>
          <w:rFonts w:hint="eastAsia" w:ascii="Times New Roman" w:hAnsi="Times New Roman" w:cs="Times New Roman"/>
          <w:b w:val="0"/>
          <w:bCs w:val="0"/>
          <w:szCs w:val="24"/>
        </w:rPr>
        <w:t>Moreover, r</w:t>
      </w:r>
      <w:r>
        <w:rPr>
          <w:rFonts w:ascii="Times New Roman" w:hAnsi="Times New Roman" w:cs="Times New Roman"/>
          <w:b w:val="0"/>
          <w:bCs w:val="0"/>
          <w:szCs w:val="24"/>
        </w:rPr>
        <w:t>einforcing the intrinsic mechanisms</w:t>
      </w:r>
      <w:r>
        <w:rPr>
          <w:rFonts w:hint="eastAsia" w:ascii="Times New Roman" w:hAnsi="Times New Roman" w:cs="Times New Roman"/>
          <w:b w:val="0"/>
          <w:bCs w:val="0"/>
          <w:szCs w:val="24"/>
        </w:rPr>
        <w:t xml:space="preserve"> </w:t>
      </w:r>
      <w:r>
        <w:rPr>
          <w:rFonts w:ascii="Times New Roman" w:hAnsi="Times New Roman" w:cs="Times New Roman"/>
          <w:b w:val="0"/>
          <w:bCs w:val="0"/>
          <w:szCs w:val="24"/>
        </w:rPr>
        <w:t>through</w:t>
      </w:r>
      <w:r>
        <w:rPr>
          <w:rFonts w:hint="eastAsia" w:ascii="Times New Roman" w:hAnsi="Times New Roman" w:cs="Times New Roman"/>
          <w:b w:val="0"/>
          <w:bCs w:val="0"/>
          <w:szCs w:val="24"/>
        </w:rPr>
        <w:t xml:space="preserve"> which</w:t>
      </w:r>
      <w:r>
        <w:rPr>
          <w:rFonts w:ascii="Times New Roman" w:hAnsi="Times New Roman" w:cs="Times New Roman"/>
          <w:b w:val="0"/>
          <w:bCs w:val="0"/>
          <w:szCs w:val="24"/>
        </w:rPr>
        <w:t xml:space="preserve"> NTU </w:t>
      </w:r>
      <w:r>
        <w:rPr>
          <w:rFonts w:hint="eastAsia" w:ascii="Times New Roman" w:hAnsi="Times New Roman" w:cs="Times New Roman"/>
          <w:b w:val="0"/>
          <w:bCs w:val="0"/>
          <w:szCs w:val="24"/>
        </w:rPr>
        <w:t xml:space="preserve">influences </w:t>
      </w:r>
      <w:r>
        <w:rPr>
          <w:rFonts w:ascii="Times New Roman" w:hAnsi="Times New Roman" w:cs="Times New Roman"/>
          <w:b w:val="0"/>
          <w:bCs w:val="0"/>
          <w:szCs w:val="24"/>
        </w:rPr>
        <w:t>GTI and AEA</w:t>
      </w:r>
      <w:r>
        <w:rPr>
          <w:rFonts w:ascii="Times New Roman" w:hAnsi="Times New Roman" w:cs="Times New Roman"/>
          <w:b/>
          <w:bCs/>
          <w:szCs w:val="24"/>
        </w:rPr>
        <w:t xml:space="preserve"> </w:t>
      </w:r>
      <w:r>
        <w:rPr>
          <w:rFonts w:ascii="Times New Roman" w:hAnsi="Times New Roman" w:cs="Times New Roman"/>
          <w:szCs w:val="24"/>
        </w:rPr>
        <w:t xml:space="preserve">can enhance the endogenous development capacity of </w:t>
      </w:r>
      <w:r>
        <w:rPr>
          <w:rFonts w:hint="eastAsia" w:ascii="Times New Roman" w:hAnsi="Times New Roman" w:cs="Times New Roman"/>
          <w:szCs w:val="24"/>
        </w:rPr>
        <w:t xml:space="preserve">the </w:t>
      </w:r>
      <w:r>
        <w:rPr>
          <w:rFonts w:ascii="Times New Roman" w:hAnsi="Times New Roman" w:cs="Times New Roman"/>
          <w:szCs w:val="24"/>
        </w:rPr>
        <w:t xml:space="preserve">agricultural </w:t>
      </w:r>
      <w:r>
        <w:rPr>
          <w:rFonts w:hint="eastAsia" w:ascii="Times New Roman" w:hAnsi="Times New Roman" w:cs="Times New Roman"/>
          <w:szCs w:val="24"/>
        </w:rPr>
        <w:t>sector</w:t>
      </w:r>
      <w:r>
        <w:rPr>
          <w:rFonts w:ascii="Times New Roman" w:hAnsi="Times New Roman" w:cs="Times New Roman"/>
          <w:szCs w:val="24"/>
        </w:rPr>
        <w:t xml:space="preserve">. Local governments </w:t>
      </w:r>
      <w:r>
        <w:rPr>
          <w:rFonts w:hint="eastAsia" w:ascii="Times New Roman" w:hAnsi="Times New Roman" w:cs="Times New Roman"/>
          <w:szCs w:val="24"/>
        </w:rPr>
        <w:t xml:space="preserve">should </w:t>
      </w:r>
      <w:r>
        <w:rPr>
          <w:rFonts w:ascii="Times New Roman" w:hAnsi="Times New Roman" w:cs="Times New Roman"/>
          <w:szCs w:val="24"/>
        </w:rPr>
        <w:t>strengthen agricultural science and technology platforms, integrate IoT, big data, artificial intelligence, and other advanced technologies into agriculture, and develop regionally adapted smart agricultural equipment to improve production efficiency and precision. In parallel,</w:t>
      </w:r>
      <w:r>
        <w:rPr>
          <w:rFonts w:hint="eastAsia" w:ascii="Times New Roman" w:hAnsi="Times New Roman" w:cs="Times New Roman"/>
          <w:szCs w:val="24"/>
        </w:rPr>
        <w:t xml:space="preserve"> i</w:t>
      </w:r>
      <w:r>
        <w:rPr>
          <w:rFonts w:ascii="Times New Roman" w:hAnsi="Times New Roman" w:cs="Times New Roman"/>
          <w:szCs w:val="24"/>
        </w:rPr>
        <w:t>nitiatives supporting returnee entrepreneurship and the development of new agricultural business entities</w:t>
      </w:r>
      <w:r>
        <w:rPr>
          <w:rFonts w:hint="eastAsia" w:ascii="Times New Roman" w:hAnsi="Times New Roman" w:cs="Times New Roman"/>
          <w:szCs w:val="24"/>
          <w:lang w:val="en-US" w:eastAsia="zh-CN"/>
        </w:rPr>
        <w:t xml:space="preserve"> should be </w:t>
      </w:r>
      <w:r>
        <w:rPr>
          <w:rFonts w:ascii="Times New Roman" w:hAnsi="Times New Roman" w:cs="Times New Roman"/>
          <w:szCs w:val="24"/>
        </w:rPr>
        <w:t xml:space="preserve">complemented by comprehensive entrepreneurial support and talent training programs, </w:t>
      </w:r>
      <w:r>
        <w:rPr>
          <w:rFonts w:hint="eastAsia" w:ascii="Times New Roman" w:hAnsi="Times New Roman" w:cs="Times New Roman"/>
          <w:szCs w:val="24"/>
        </w:rPr>
        <w:t>thereby</w:t>
      </w:r>
      <w:r>
        <w:rPr>
          <w:rFonts w:ascii="Times New Roman" w:hAnsi="Times New Roman" w:cs="Times New Roman"/>
          <w:szCs w:val="24"/>
        </w:rPr>
        <w:t xml:space="preserve"> shift</w:t>
      </w:r>
      <w:r>
        <w:rPr>
          <w:rFonts w:hint="eastAsia" w:ascii="Times New Roman" w:hAnsi="Times New Roman" w:cs="Times New Roman"/>
          <w:szCs w:val="24"/>
        </w:rPr>
        <w:t>ing</w:t>
      </w:r>
      <w:r>
        <w:rPr>
          <w:rFonts w:ascii="Times New Roman" w:hAnsi="Times New Roman" w:cs="Times New Roman"/>
          <w:szCs w:val="24"/>
        </w:rPr>
        <w:t xml:space="preserve"> agricultural systems from passive adaptation to proactive</w:t>
      </w:r>
      <w:r>
        <w:rPr>
          <w:rFonts w:hint="eastAsia" w:ascii="Times New Roman" w:hAnsi="Times New Roman" w:cs="Times New Roman"/>
          <w:szCs w:val="24"/>
        </w:rPr>
        <w:t xml:space="preserve"> </w:t>
      </w:r>
      <w:r>
        <w:rPr>
          <w:rFonts w:ascii="Times New Roman" w:hAnsi="Times New Roman" w:cs="Times New Roman"/>
          <w:szCs w:val="24"/>
        </w:rPr>
        <w:t>transformation.</w:t>
      </w:r>
    </w:p>
    <w:p w14:paraId="064BE237">
      <w:pPr>
        <w:spacing w:after="120" w:afterLines="50" w:line="480" w:lineRule="auto"/>
        <w:ind w:firstLine="482"/>
        <w:rPr>
          <w:rFonts w:ascii="Times New Roman" w:hAnsi="Times New Roman" w:cs="Times New Roman"/>
          <w:szCs w:val="24"/>
        </w:rPr>
      </w:pPr>
      <w:r>
        <w:rPr>
          <w:rFonts w:ascii="Times New Roman" w:hAnsi="Times New Roman" w:cs="Times New Roman"/>
          <w:b w:val="0"/>
          <w:bCs w:val="0"/>
          <w:szCs w:val="24"/>
        </w:rPr>
        <w:t>In addition, the promotion of GF</w:t>
      </w:r>
      <w:r>
        <w:rPr>
          <w:rFonts w:hint="eastAsia" w:ascii="Times New Roman" w:hAnsi="Times New Roman" w:cs="Times New Roman"/>
          <w:b w:val="0"/>
          <w:bCs w:val="0"/>
          <w:szCs w:val="24"/>
        </w:rPr>
        <w:t>I</w:t>
      </w:r>
      <w:r>
        <w:rPr>
          <w:rFonts w:ascii="Times New Roman" w:hAnsi="Times New Roman" w:cs="Times New Roman"/>
          <w:b w:val="0"/>
          <w:bCs w:val="0"/>
          <w:szCs w:val="24"/>
        </w:rPr>
        <w:t xml:space="preserve"> and APR</w:t>
      </w:r>
      <w:r>
        <w:rPr>
          <w:rFonts w:ascii="Times New Roman" w:hAnsi="Times New Roman" w:cs="Times New Roman"/>
          <w:szCs w:val="24"/>
        </w:rPr>
        <w:t xml:space="preserve"> can provide robust financial and risk mitigation support for AER. Financial institutions should design diversified</w:t>
      </w:r>
      <w:r>
        <w:rPr>
          <w:rFonts w:hint="eastAsia" w:ascii="Times New Roman" w:hAnsi="Times New Roman" w:cs="Times New Roman"/>
          <w:szCs w:val="24"/>
        </w:rPr>
        <w:t>,</w:t>
      </w:r>
      <w:r>
        <w:rPr>
          <w:rFonts w:ascii="Times New Roman" w:hAnsi="Times New Roman" w:cs="Times New Roman"/>
          <w:szCs w:val="24"/>
        </w:rPr>
        <w:t xml:space="preserve"> long-term green credit</w:t>
      </w:r>
      <w:r>
        <w:rPr>
          <w:rFonts w:hint="eastAsia" w:ascii="Times New Roman" w:hAnsi="Times New Roman" w:cs="Times New Roman"/>
          <w:szCs w:val="24"/>
        </w:rPr>
        <w:t xml:space="preserve"> </w:t>
      </w:r>
      <w:r>
        <w:rPr>
          <w:rFonts w:ascii="Times New Roman" w:hAnsi="Times New Roman" w:cs="Times New Roman"/>
          <w:szCs w:val="24"/>
        </w:rPr>
        <w:t>instruments</w:t>
      </w:r>
      <w:r>
        <w:rPr>
          <w:rFonts w:hint="eastAsia" w:ascii="Times New Roman" w:hAnsi="Times New Roman" w:cs="Times New Roman"/>
          <w:szCs w:val="24"/>
        </w:rPr>
        <w:t xml:space="preserve"> </w:t>
      </w:r>
      <w:r>
        <w:rPr>
          <w:rFonts w:ascii="Times New Roman" w:hAnsi="Times New Roman" w:cs="Times New Roman"/>
          <w:szCs w:val="24"/>
        </w:rPr>
        <w:t xml:space="preserve">aligned with </w:t>
      </w:r>
      <w:r>
        <w:rPr>
          <w:rFonts w:hint="eastAsia" w:ascii="Times New Roman" w:hAnsi="Times New Roman" w:cs="Times New Roman"/>
          <w:szCs w:val="24"/>
        </w:rPr>
        <w:t xml:space="preserve">the needs of </w:t>
      </w:r>
      <w:r>
        <w:rPr>
          <w:rFonts w:ascii="Times New Roman" w:hAnsi="Times New Roman" w:cs="Times New Roman"/>
          <w:szCs w:val="24"/>
        </w:rPr>
        <w:t>agricultural green development and establish risk compensation mechanisms for green agricultural projects. Expanding the coverage of agricultural insurance and integrating it with meteorological and remote sensing information systems can improve risk assessment accuracy and claims settlement</w:t>
      </w:r>
      <w:r>
        <w:rPr>
          <w:rFonts w:hint="eastAsia" w:ascii="Times New Roman" w:hAnsi="Times New Roman" w:cs="Times New Roman"/>
          <w:szCs w:val="24"/>
        </w:rPr>
        <w:t xml:space="preserve"> </w:t>
      </w:r>
      <w:r>
        <w:rPr>
          <w:rFonts w:ascii="Times New Roman" w:hAnsi="Times New Roman" w:cs="Times New Roman"/>
          <w:szCs w:val="24"/>
        </w:rPr>
        <w:t>efficiency.</w:t>
      </w:r>
    </w:p>
    <w:p w14:paraId="28320D2E">
      <w:pPr>
        <w:spacing w:after="120" w:afterLines="50" w:line="480" w:lineRule="auto"/>
        <w:ind w:firstLine="482"/>
        <w:rPr>
          <w:rFonts w:ascii="Times New Roman" w:hAnsi="Times New Roman" w:cs="Times New Roman"/>
          <w:szCs w:val="24"/>
        </w:rPr>
      </w:pPr>
      <w:r>
        <w:rPr>
          <w:rFonts w:ascii="Times New Roman" w:hAnsi="Times New Roman" w:cs="Times New Roman"/>
          <w:b w:val="0"/>
          <w:bCs w:val="0"/>
          <w:szCs w:val="24"/>
        </w:rPr>
        <w:t>Finally, regionally</w:t>
      </w:r>
      <w:r>
        <w:rPr>
          <w:rFonts w:hint="eastAsia" w:ascii="Times New Roman" w:hAnsi="Times New Roman" w:cs="Times New Roman"/>
          <w:b w:val="0"/>
          <w:bCs w:val="0"/>
          <w:szCs w:val="24"/>
        </w:rPr>
        <w:t xml:space="preserve"> </w:t>
      </w:r>
      <w:r>
        <w:rPr>
          <w:rFonts w:ascii="Times New Roman" w:hAnsi="Times New Roman" w:cs="Times New Roman"/>
          <w:b w:val="0"/>
          <w:bCs w:val="0"/>
          <w:szCs w:val="24"/>
        </w:rPr>
        <w:t>differentiated development strategies</w:t>
      </w:r>
      <w:r>
        <w:rPr>
          <w:rFonts w:ascii="Times New Roman" w:hAnsi="Times New Roman" w:cs="Times New Roman"/>
          <w:szCs w:val="24"/>
        </w:rPr>
        <w:t xml:space="preserve"> should be implemented to </w:t>
      </w:r>
      <w:r>
        <w:rPr>
          <w:rFonts w:hint="eastAsia" w:ascii="Times New Roman" w:hAnsi="Times New Roman" w:cs="Times New Roman"/>
          <w:szCs w:val="24"/>
        </w:rPr>
        <w:t>enhance</w:t>
      </w:r>
      <w:r>
        <w:rPr>
          <w:rFonts w:ascii="Times New Roman" w:hAnsi="Times New Roman" w:cs="Times New Roman"/>
          <w:szCs w:val="24"/>
        </w:rPr>
        <w:t xml:space="preserve"> policy adaptability and precision. In regions with high GOV, administrative streamlining reforms are necessary to reduce distortions in agricultural resource allocation and strengthen the decisive role of market</w:t>
      </w:r>
      <w:r>
        <w:rPr>
          <w:rFonts w:hint="eastAsia" w:ascii="Times New Roman" w:hAnsi="Times New Roman" w:cs="Times New Roman"/>
          <w:szCs w:val="24"/>
        </w:rPr>
        <w:t xml:space="preserve"> </w:t>
      </w:r>
      <w:r>
        <w:rPr>
          <w:rFonts w:ascii="Times New Roman" w:hAnsi="Times New Roman" w:cs="Times New Roman"/>
          <w:szCs w:val="24"/>
        </w:rPr>
        <w:t xml:space="preserve">mechanisms. In areas with complex industrial structures, ecological and modern agriculture </w:t>
      </w:r>
      <w:r>
        <w:rPr>
          <w:rFonts w:hint="eastAsia" w:ascii="Times New Roman" w:hAnsi="Times New Roman" w:cs="Times New Roman"/>
          <w:szCs w:val="24"/>
        </w:rPr>
        <w:t xml:space="preserve">should be integrated </w:t>
      </w:r>
      <w:r>
        <w:rPr>
          <w:rFonts w:ascii="Times New Roman" w:hAnsi="Times New Roman" w:cs="Times New Roman"/>
          <w:szCs w:val="24"/>
        </w:rPr>
        <w:t>into local industrial systems to reinforce</w:t>
      </w:r>
      <w:r>
        <w:rPr>
          <w:rFonts w:hint="eastAsia" w:ascii="Times New Roman" w:hAnsi="Times New Roman" w:cs="Times New Roman"/>
          <w:szCs w:val="24"/>
        </w:rPr>
        <w:t xml:space="preserve"> the </w:t>
      </w:r>
      <w:r>
        <w:rPr>
          <w:rFonts w:ascii="Times New Roman" w:hAnsi="Times New Roman" w:cs="Times New Roman"/>
          <w:szCs w:val="24"/>
        </w:rPr>
        <w:t xml:space="preserve">foundational role </w:t>
      </w:r>
      <w:r>
        <w:rPr>
          <w:rFonts w:hint="eastAsia" w:ascii="Times New Roman" w:hAnsi="Times New Roman" w:cs="Times New Roman"/>
          <w:szCs w:val="24"/>
        </w:rPr>
        <w:t xml:space="preserve">of </w:t>
      </w:r>
      <w:r>
        <w:rPr>
          <w:rFonts w:ascii="Times New Roman" w:hAnsi="Times New Roman" w:cs="Times New Roman"/>
          <w:szCs w:val="24"/>
        </w:rPr>
        <w:t>agriculture. Additional support should be provided to western regions in infrastructure</w:t>
      </w:r>
      <w:r>
        <w:rPr>
          <w:rFonts w:hint="eastAsia" w:ascii="Times New Roman" w:hAnsi="Times New Roman" w:cs="Times New Roman"/>
          <w:szCs w:val="24"/>
        </w:rPr>
        <w:t xml:space="preserve"> investment</w:t>
      </w:r>
      <w:r>
        <w:rPr>
          <w:rFonts w:ascii="Times New Roman" w:hAnsi="Times New Roman" w:cs="Times New Roman"/>
          <w:szCs w:val="24"/>
        </w:rPr>
        <w:t>, green technology adoption, and financial services to enhance their capacity to benefit from NTU.</w:t>
      </w:r>
    </w:p>
    <w:p w14:paraId="23307634">
      <w:pPr>
        <w:spacing w:after="120" w:afterLines="50" w:line="480" w:lineRule="auto"/>
        <w:rPr>
          <w:rFonts w:hint="eastAsia" w:ascii="Times New Roman" w:hAnsi="Times New Roman" w:cs="Times New Roman"/>
          <w:b/>
          <w:bCs/>
          <w:szCs w:val="24"/>
        </w:rPr>
      </w:pPr>
      <w:r>
        <w:rPr>
          <w:rFonts w:hint="eastAsia" w:ascii="Times New Roman" w:hAnsi="Times New Roman" w:cs="Times New Roman"/>
          <w:b/>
          <w:bCs/>
          <w:szCs w:val="24"/>
        </w:rPr>
        <w:t>5.3. Limitations</w:t>
      </w:r>
    </w:p>
    <w:p w14:paraId="7165118C">
      <w:pPr>
        <w:spacing w:after="120" w:afterLines="50" w:line="480" w:lineRule="auto"/>
        <w:ind w:firstLine="482"/>
        <w:rPr>
          <w:rFonts w:hint="eastAsia" w:ascii="Times New Roman" w:hAnsi="Times New Roman" w:cs="Times New Roman"/>
          <w:szCs w:val="24"/>
        </w:rPr>
      </w:pPr>
      <w:r>
        <w:rPr>
          <w:rFonts w:hint="eastAsia" w:ascii="Times New Roman" w:hAnsi="Times New Roman" w:cs="Times New Roman"/>
          <w:szCs w:val="24"/>
        </w:rPr>
        <w:t>While t</w:t>
      </w:r>
      <w:r>
        <w:rPr>
          <w:rFonts w:ascii="Times New Roman" w:hAnsi="Times New Roman" w:cs="Times New Roman"/>
          <w:szCs w:val="24"/>
        </w:rPr>
        <w:t xml:space="preserve">his study provides </w:t>
      </w:r>
      <w:r>
        <w:rPr>
          <w:rFonts w:hint="eastAsia" w:ascii="Times New Roman" w:hAnsi="Times New Roman" w:cs="Times New Roman"/>
          <w:szCs w:val="24"/>
        </w:rPr>
        <w:t>meaningful</w:t>
      </w:r>
      <w:r>
        <w:rPr>
          <w:rFonts w:ascii="Times New Roman" w:hAnsi="Times New Roman" w:cs="Times New Roman"/>
          <w:szCs w:val="24"/>
        </w:rPr>
        <w:t xml:space="preserve"> insights into </w:t>
      </w:r>
      <w:r>
        <w:rPr>
          <w:rFonts w:hint="eastAsia" w:ascii="Times New Roman" w:hAnsi="Times New Roman" w:cs="Times New Roman"/>
          <w:szCs w:val="24"/>
        </w:rPr>
        <w:t>how</w:t>
      </w:r>
      <w:r>
        <w:rPr>
          <w:rFonts w:ascii="Times New Roman" w:hAnsi="Times New Roman" w:cs="Times New Roman"/>
          <w:szCs w:val="24"/>
        </w:rPr>
        <w:t xml:space="preserve"> NTU</w:t>
      </w:r>
      <w:r>
        <w:rPr>
          <w:rFonts w:hint="eastAsia" w:ascii="Times New Roman" w:hAnsi="Times New Roman" w:cs="Times New Roman"/>
          <w:szCs w:val="24"/>
        </w:rPr>
        <w:t xml:space="preserve"> </w:t>
      </w:r>
      <w:r>
        <w:rPr>
          <w:rFonts w:ascii="Times New Roman" w:hAnsi="Times New Roman" w:cs="Times New Roman"/>
          <w:szCs w:val="24"/>
        </w:rPr>
        <w:t>can strengthen</w:t>
      </w:r>
      <w:r>
        <w:rPr>
          <w:rFonts w:hint="eastAsia" w:ascii="Times New Roman" w:hAnsi="Times New Roman" w:cs="Times New Roman"/>
          <w:szCs w:val="24"/>
        </w:rPr>
        <w:t xml:space="preserve"> </w:t>
      </w:r>
      <w:r>
        <w:rPr>
          <w:rFonts w:ascii="Times New Roman" w:hAnsi="Times New Roman" w:cs="Times New Roman"/>
          <w:szCs w:val="24"/>
        </w:rPr>
        <w:t>AER, several limitations warrant consideration and point to directions for future research. Although a comprehensive</w:t>
      </w:r>
      <w:r>
        <w:rPr>
          <w:rFonts w:hint="eastAsia" w:ascii="Times New Roman" w:hAnsi="Times New Roman" w:cs="Times New Roman"/>
          <w:szCs w:val="24"/>
        </w:rPr>
        <w:t xml:space="preserve"> </w:t>
      </w:r>
      <w:r>
        <w:rPr>
          <w:rFonts w:ascii="Times New Roman" w:hAnsi="Times New Roman" w:cs="Times New Roman"/>
          <w:szCs w:val="24"/>
        </w:rPr>
        <w:t>multidimensional</w:t>
      </w:r>
      <w:r>
        <w:rPr>
          <w:rFonts w:hint="eastAsia" w:ascii="Times New Roman" w:hAnsi="Times New Roman" w:cs="Times New Roman"/>
          <w:szCs w:val="24"/>
        </w:rPr>
        <w:t xml:space="preserve"> </w:t>
      </w:r>
      <w:r>
        <w:rPr>
          <w:rFonts w:ascii="Times New Roman" w:hAnsi="Times New Roman" w:cs="Times New Roman"/>
          <w:szCs w:val="24"/>
        </w:rPr>
        <w:t>indicator system was constructed</w:t>
      </w:r>
      <w:r>
        <w:rPr>
          <w:rFonts w:hint="eastAsia" w:ascii="Times New Roman" w:hAnsi="Times New Roman" w:cs="Times New Roman"/>
          <w:szCs w:val="24"/>
        </w:rPr>
        <w:t xml:space="preserve"> to measure </w:t>
      </w:r>
      <w:r>
        <w:rPr>
          <w:rFonts w:ascii="Times New Roman" w:hAnsi="Times New Roman" w:cs="Times New Roman"/>
          <w:szCs w:val="24"/>
        </w:rPr>
        <w:t xml:space="preserve">NTU, </w:t>
      </w:r>
      <w:r>
        <w:rPr>
          <w:rFonts w:hint="eastAsia" w:ascii="Times New Roman" w:hAnsi="Times New Roman" w:cs="Times New Roman"/>
          <w:szCs w:val="24"/>
        </w:rPr>
        <w:t>certain</w:t>
      </w:r>
      <w:r>
        <w:rPr>
          <w:rFonts w:ascii="Times New Roman" w:hAnsi="Times New Roman" w:cs="Times New Roman"/>
          <w:szCs w:val="24"/>
        </w:rPr>
        <w:t xml:space="preserve"> indicators may involve a degree of subjectivity, which could affect the precise representation of urbanization quality.</w:t>
      </w:r>
      <w:r>
        <w:rPr>
          <w:rFonts w:hint="eastAsia" w:ascii="Times New Roman" w:hAnsi="Times New Roman" w:cs="Times New Roman"/>
          <w:szCs w:val="24"/>
        </w:rPr>
        <w:t xml:space="preserve"> </w:t>
      </w:r>
      <w:r>
        <w:rPr>
          <w:rFonts w:ascii="Times New Roman" w:hAnsi="Times New Roman" w:cs="Times New Roman"/>
          <w:szCs w:val="24"/>
        </w:rPr>
        <w:t xml:space="preserve">Future studies could adopt </w:t>
      </w:r>
      <w:r>
        <w:rPr>
          <w:rFonts w:hint="eastAsia" w:ascii="Times New Roman" w:hAnsi="Times New Roman" w:cs="Times New Roman"/>
          <w:szCs w:val="24"/>
        </w:rPr>
        <w:t xml:space="preserve">more explicitly </w:t>
      </w:r>
      <w:r>
        <w:rPr>
          <w:rFonts w:ascii="Times New Roman" w:hAnsi="Times New Roman" w:cs="Times New Roman"/>
          <w:szCs w:val="24"/>
        </w:rPr>
        <w:t>policy-focused approaches such as difference-in</w:t>
      </w:r>
      <w:r>
        <w:rPr>
          <w:rFonts w:hint="eastAsia" w:ascii="Times New Roman" w:hAnsi="Times New Roman" w:cs="Times New Roman"/>
          <w:szCs w:val="24"/>
        </w:rPr>
        <w:t>-</w:t>
      </w:r>
      <w:r>
        <w:rPr>
          <w:rFonts w:ascii="Times New Roman" w:hAnsi="Times New Roman" w:cs="Times New Roman"/>
          <w:szCs w:val="24"/>
        </w:rPr>
        <w:t>differences</w:t>
      </w:r>
      <w:r>
        <w:rPr>
          <w:rFonts w:hint="eastAsia" w:ascii="Times New Roman" w:hAnsi="Times New Roman" w:cs="Times New Roman"/>
          <w:szCs w:val="24"/>
        </w:rPr>
        <w:t xml:space="preserve"> </w:t>
      </w:r>
      <w:r>
        <w:rPr>
          <w:rFonts w:ascii="Times New Roman" w:hAnsi="Times New Roman" w:cs="Times New Roman"/>
          <w:szCs w:val="24"/>
        </w:rPr>
        <w:t>designs based on national pilot programs</w:t>
      </w:r>
      <w:r>
        <w:rPr>
          <w:rFonts w:hint="eastAsia" w:ascii="Times New Roman" w:hAnsi="Times New Roman" w:cs="Times New Roman"/>
          <w:szCs w:val="24"/>
        </w:rPr>
        <w:t xml:space="preserve"> </w:t>
      </w:r>
      <w:r>
        <w:rPr>
          <w:rFonts w:ascii="Times New Roman" w:hAnsi="Times New Roman" w:cs="Times New Roman"/>
          <w:szCs w:val="24"/>
        </w:rPr>
        <w:t xml:space="preserve">to improve identification accuracy. </w:t>
      </w:r>
      <w:r>
        <w:rPr>
          <w:rFonts w:hint="eastAsia" w:ascii="Times New Roman" w:hAnsi="Times New Roman" w:cs="Times New Roman"/>
          <w:szCs w:val="24"/>
        </w:rPr>
        <w:t>A</w:t>
      </w:r>
      <w:r>
        <w:rPr>
          <w:rFonts w:ascii="Times New Roman" w:hAnsi="Times New Roman" w:cs="Times New Roman"/>
          <w:szCs w:val="24"/>
        </w:rPr>
        <w:t>dditionally,</w:t>
      </w:r>
      <w:r>
        <w:rPr>
          <w:rFonts w:hint="eastAsia" w:ascii="Times New Roman" w:hAnsi="Times New Roman" w:cs="Times New Roman"/>
          <w:szCs w:val="24"/>
        </w:rPr>
        <w:t xml:space="preserve"> </w:t>
      </w:r>
      <w:r>
        <w:rPr>
          <w:rFonts w:ascii="Times New Roman" w:hAnsi="Times New Roman" w:cs="Times New Roman"/>
          <w:szCs w:val="24"/>
        </w:rPr>
        <w:t>this study does not account for potential spatial spillover effects, which may lead to an incomplete understanding of cross-regional interdependence in agricultural resilience.</w:t>
      </w:r>
      <w:bookmarkEnd w:id="30"/>
      <w:bookmarkStart w:id="32" w:name="_Ref204537439"/>
      <w:r>
        <w:rPr>
          <w:rFonts w:hint="eastAsia" w:ascii="Times New Roman" w:hAnsi="Times New Roman" w:cs="Times New Roman"/>
          <w:szCs w:val="24"/>
        </w:rPr>
        <w:t xml:space="preserve"> </w:t>
      </w:r>
      <w:r>
        <w:rPr>
          <w:rFonts w:ascii="Times New Roman" w:hAnsi="Times New Roman" w:cs="Times New Roman"/>
          <w:szCs w:val="24"/>
        </w:rPr>
        <w:t>The application of spatial econometric models in future work could help clarify these interregional linkages and provide a more refined analytical perspective.</w:t>
      </w:r>
    </w:p>
    <w:p w14:paraId="639CE568">
      <w:pPr>
        <w:adjustRightInd w:val="0"/>
        <w:snapToGrid w:val="0"/>
        <w:spacing w:before="240" w:beforeLines="100" w:after="240" w:afterLines="100" w:line="360" w:lineRule="auto"/>
        <w:jc w:val="left"/>
        <w:rPr>
          <w:rFonts w:ascii="Times New Roman" w:hAnsi="Times New Roman" w:eastAsia="宋体" w:cs="Times New Roman"/>
          <w:b/>
          <w:bCs/>
          <w:szCs w:val="21"/>
        </w:rPr>
      </w:pPr>
      <w:r>
        <w:rPr>
          <w:rFonts w:ascii="Times New Roman" w:hAnsi="Times New Roman" w:eastAsia="宋体" w:cs="Times New Roman"/>
          <w:b/>
          <w:bCs/>
          <w:szCs w:val="21"/>
        </w:rPr>
        <w:t>CRediT authorship contribution statement</w:t>
      </w:r>
    </w:p>
    <w:p w14:paraId="1519B168">
      <w:pPr>
        <w:snapToGrid w:val="0"/>
        <w:spacing w:line="360" w:lineRule="auto"/>
        <w:ind w:firstLine="420"/>
        <w:rPr>
          <w:rFonts w:ascii="Times New Roman" w:hAnsi="Times New Roman" w:cs="Times New Roman"/>
          <w:szCs w:val="21"/>
        </w:rPr>
      </w:pPr>
      <w:r>
        <w:rPr>
          <w:rFonts w:hint="eastAsia" w:ascii="Times New Roman" w:hAnsi="Times New Roman" w:cs="Times New Roman"/>
          <w:b/>
          <w:bCs/>
          <w:szCs w:val="21"/>
        </w:rPr>
        <w:t>Zhiyong Chen</w:t>
      </w:r>
      <w:r>
        <w:rPr>
          <w:rFonts w:ascii="Times New Roman" w:hAnsi="Times New Roman" w:cs="Times New Roman"/>
          <w:b/>
          <w:bCs/>
          <w:szCs w:val="21"/>
        </w:rPr>
        <w:t xml:space="preserve">: </w:t>
      </w:r>
      <w:r>
        <w:rPr>
          <w:rFonts w:ascii="Times New Roman" w:hAnsi="Times New Roman" w:eastAsia="Times New Roman" w:cs="Times New Roman"/>
          <w:szCs w:val="21"/>
        </w:rPr>
        <w:t>Resources,</w:t>
      </w:r>
      <w:r>
        <w:rPr>
          <w:rFonts w:hint="eastAsia" w:ascii="Times New Roman" w:hAnsi="Times New Roman" w:cs="Times New Roman"/>
          <w:szCs w:val="21"/>
        </w:rPr>
        <w:t xml:space="preserve"> </w:t>
      </w:r>
      <w:r>
        <w:rPr>
          <w:rFonts w:ascii="Times New Roman" w:hAnsi="Times New Roman" w:eastAsia="Times New Roman" w:cs="Times New Roman"/>
          <w:szCs w:val="21"/>
        </w:rPr>
        <w:t>Writing – review &amp; editing, Project administration, Supervision</w:t>
      </w:r>
      <w:r>
        <w:rPr>
          <w:rFonts w:hint="eastAsia" w:ascii="Times New Roman" w:hAnsi="Times New Roman" w:cs="Times New Roman"/>
          <w:szCs w:val="21"/>
        </w:rPr>
        <w:t xml:space="preserve">, </w:t>
      </w:r>
      <w:r>
        <w:rPr>
          <w:rFonts w:ascii="Times New Roman" w:hAnsi="Times New Roman" w:cs="Times New Roman"/>
          <w:szCs w:val="21"/>
        </w:rPr>
        <w:t>Funding acquisition</w:t>
      </w:r>
      <w:r>
        <w:rPr>
          <w:rFonts w:hint="eastAsia" w:ascii="Times New Roman" w:hAnsi="Times New Roman" w:cs="Times New Roman"/>
          <w:szCs w:val="21"/>
        </w:rPr>
        <w:t>.</w:t>
      </w:r>
    </w:p>
    <w:p w14:paraId="15B7A878">
      <w:pPr>
        <w:snapToGrid w:val="0"/>
        <w:spacing w:line="360" w:lineRule="auto"/>
        <w:ind w:firstLine="420"/>
        <w:rPr>
          <w:rFonts w:ascii="Times New Roman" w:hAnsi="Times New Roman" w:cs="Times New Roman"/>
          <w:szCs w:val="21"/>
        </w:rPr>
      </w:pPr>
      <w:r>
        <w:rPr>
          <w:rFonts w:hint="eastAsia" w:ascii="Times New Roman" w:hAnsi="Times New Roman" w:cs="Times New Roman"/>
          <w:b/>
          <w:bCs/>
          <w:szCs w:val="21"/>
        </w:rPr>
        <w:t>Shiqi Yi</w:t>
      </w:r>
      <w:r>
        <w:rPr>
          <w:rFonts w:ascii="Times New Roman" w:hAnsi="Times New Roman" w:eastAsia="Times New Roman" w:cs="Times New Roman"/>
          <w:b/>
          <w:bCs/>
          <w:szCs w:val="21"/>
        </w:rPr>
        <w:t>:</w:t>
      </w:r>
      <w:r>
        <w:rPr>
          <w:rFonts w:ascii="Times New Roman" w:hAnsi="Times New Roman" w:eastAsia="Times New Roman" w:cs="Times New Roman"/>
          <w:szCs w:val="21"/>
        </w:rPr>
        <w:t xml:space="preserve"> Conceptualization, Data curation, Writing – original draft, Formal analysis</w:t>
      </w:r>
      <w:r>
        <w:rPr>
          <w:rFonts w:hint="eastAsia" w:ascii="Times New Roman" w:hAnsi="Times New Roman" w:cs="Times New Roman"/>
          <w:szCs w:val="21"/>
        </w:rPr>
        <w:t xml:space="preserve">, </w:t>
      </w:r>
      <w:r>
        <w:rPr>
          <w:rFonts w:ascii="Times New Roman" w:hAnsi="Times New Roman" w:eastAsia="Times New Roman" w:cs="Times New Roman"/>
          <w:szCs w:val="21"/>
        </w:rPr>
        <w:t xml:space="preserve">Writing - </w:t>
      </w:r>
      <w:r>
        <w:rPr>
          <w:rFonts w:hint="eastAsia" w:ascii="Times New Roman" w:hAnsi="Times New Roman" w:cs="Times New Roman"/>
          <w:szCs w:val="21"/>
        </w:rPr>
        <w:t>r</w:t>
      </w:r>
      <w:r>
        <w:rPr>
          <w:rFonts w:ascii="Times New Roman" w:hAnsi="Times New Roman" w:eastAsia="Times New Roman" w:cs="Times New Roman"/>
          <w:szCs w:val="21"/>
        </w:rPr>
        <w:t xml:space="preserve">eviewing and </w:t>
      </w:r>
      <w:r>
        <w:rPr>
          <w:rFonts w:hint="eastAsia" w:ascii="Times New Roman" w:hAnsi="Times New Roman" w:cs="Times New Roman"/>
          <w:szCs w:val="21"/>
        </w:rPr>
        <w:t>e</w:t>
      </w:r>
      <w:r>
        <w:rPr>
          <w:rFonts w:ascii="Times New Roman" w:hAnsi="Times New Roman" w:eastAsia="Times New Roman" w:cs="Times New Roman"/>
          <w:szCs w:val="21"/>
        </w:rPr>
        <w:t>diting.</w:t>
      </w:r>
    </w:p>
    <w:p w14:paraId="7EFCC41F">
      <w:pPr>
        <w:snapToGrid w:val="0"/>
        <w:spacing w:line="480" w:lineRule="auto"/>
        <w:ind w:firstLine="420"/>
        <w:rPr>
          <w:rFonts w:ascii="Times New Roman" w:hAnsi="Times New Roman" w:eastAsia="Times New Roman" w:cs="Times New Roman"/>
          <w:szCs w:val="21"/>
        </w:rPr>
      </w:pPr>
      <w:r>
        <w:rPr>
          <w:rFonts w:hint="eastAsia" w:ascii="Times New Roman" w:hAnsi="Times New Roman" w:cs="Times New Roman"/>
          <w:b/>
          <w:bCs/>
          <w:szCs w:val="21"/>
          <w:lang w:val="en-US" w:eastAsia="zh-CN"/>
        </w:rPr>
        <w:t>Rongshang</w:t>
      </w:r>
      <w:r>
        <w:rPr>
          <w:rFonts w:hint="eastAsia" w:ascii="Times New Roman" w:hAnsi="Times New Roman" w:cs="Times New Roman"/>
          <w:b/>
          <w:bCs/>
          <w:szCs w:val="21"/>
        </w:rPr>
        <w:t xml:space="preserve"> </w:t>
      </w:r>
      <w:r>
        <w:rPr>
          <w:rFonts w:hint="eastAsia" w:ascii="Times New Roman" w:hAnsi="Times New Roman" w:cs="Times New Roman"/>
          <w:b/>
          <w:bCs/>
          <w:szCs w:val="21"/>
          <w:lang w:val="en-US" w:eastAsia="zh-CN"/>
        </w:rPr>
        <w:t>Chen</w:t>
      </w:r>
      <w:r>
        <w:rPr>
          <w:rFonts w:hint="eastAsia" w:ascii="Times New Roman" w:hAnsi="Times New Roman" w:cs="Times New Roman"/>
          <w:b/>
          <w:bCs/>
          <w:szCs w:val="21"/>
        </w:rPr>
        <w:t>:</w:t>
      </w:r>
      <w:r>
        <w:rPr>
          <w:rFonts w:ascii="Times New Roman" w:hAnsi="Times New Roman" w:eastAsia="Times New Roman" w:cs="Times New Roman"/>
          <w:szCs w:val="21"/>
        </w:rPr>
        <w:t xml:space="preserve"> Writing</w:t>
      </w:r>
      <w:r>
        <w:rPr>
          <w:rFonts w:hint="eastAsia" w:ascii="Times New Roman" w:hAnsi="Times New Roman" w:cs="Times New Roman"/>
          <w:szCs w:val="21"/>
        </w:rPr>
        <w:t xml:space="preserve"> </w:t>
      </w:r>
      <w:r>
        <w:rPr>
          <w:rFonts w:hint="eastAsia" w:ascii="Times New Roman" w:hAnsi="Times New Roman" w:eastAsia="Times New Roman" w:cs="Times New Roman"/>
          <w:szCs w:val="21"/>
        </w:rPr>
        <w:t>–</w:t>
      </w:r>
      <w:r>
        <w:rPr>
          <w:rFonts w:ascii="Times New Roman" w:hAnsi="Times New Roman" w:eastAsia="Times New Roman" w:cs="Times New Roman"/>
          <w:szCs w:val="21"/>
        </w:rPr>
        <w:t xml:space="preserve"> review &amp; editing,</w:t>
      </w:r>
      <w:r>
        <w:rPr>
          <w:szCs w:val="21"/>
        </w:rPr>
        <w:t xml:space="preserve"> </w:t>
      </w:r>
      <w:r>
        <w:rPr>
          <w:rFonts w:ascii="Times New Roman" w:hAnsi="Times New Roman" w:eastAsia="Times New Roman" w:cs="Times New Roman"/>
          <w:szCs w:val="21"/>
        </w:rPr>
        <w:t>Formal analysis</w:t>
      </w:r>
      <w:r>
        <w:rPr>
          <w:rFonts w:hint="eastAsia" w:ascii="Times New Roman" w:hAnsi="Times New Roman" w:cs="Times New Roman"/>
          <w:szCs w:val="21"/>
        </w:rPr>
        <w:t>,</w:t>
      </w:r>
      <w:r>
        <w:rPr>
          <w:rFonts w:ascii="Times New Roman" w:hAnsi="Times New Roman" w:eastAsia="Times New Roman" w:cs="Times New Roman"/>
          <w:szCs w:val="21"/>
        </w:rPr>
        <w:t xml:space="preserve"> Software, Investigation</w:t>
      </w:r>
      <w:r>
        <w:rPr>
          <w:rFonts w:hint="eastAsia" w:ascii="Times New Roman" w:hAnsi="Times New Roman" w:cs="Times New Roman"/>
          <w:szCs w:val="21"/>
        </w:rPr>
        <w:t xml:space="preserve">, </w:t>
      </w:r>
      <w:r>
        <w:rPr>
          <w:rFonts w:ascii="Times New Roman" w:hAnsi="Times New Roman" w:eastAsia="Times New Roman" w:cs="Times New Roman"/>
          <w:szCs w:val="21"/>
        </w:rPr>
        <w:t>Validation.</w:t>
      </w:r>
    </w:p>
    <w:p w14:paraId="438BFC04">
      <w:pPr>
        <w:widowControl/>
        <w:adjustRightInd w:val="0"/>
        <w:snapToGrid w:val="0"/>
        <w:spacing w:line="360" w:lineRule="auto"/>
        <w:textAlignment w:val="center"/>
        <w:rPr>
          <w:rFonts w:hint="default" w:ascii="Times New Roman" w:hAnsi="Times New Roman" w:cs="Times New Roman" w:eastAsiaTheme="minorEastAsia"/>
          <w:szCs w:val="21"/>
          <w:lang w:val="en-US" w:eastAsia="zh-CN"/>
        </w:rPr>
      </w:pPr>
      <w:r>
        <w:t xml:space="preserve"> </w:t>
      </w:r>
      <w:r>
        <w:rPr>
          <w:rFonts w:hint="eastAsia" w:ascii="Times New Roman" w:hAnsi="Times New Roman"/>
          <w:b/>
          <w:szCs w:val="21"/>
          <w:lang w:val="en-US" w:eastAsia="zh-CN"/>
        </w:rPr>
        <w:t>Funding</w:t>
      </w:r>
    </w:p>
    <w:p w14:paraId="04920775">
      <w:pPr>
        <w:spacing w:line="360" w:lineRule="auto"/>
        <w:ind w:firstLine="420" w:firstLineChars="200"/>
        <w:rPr>
          <w:rFonts w:hint="default" w:ascii="Times New Roman" w:hAnsi="Times New Roman" w:eastAsia="宋体"/>
          <w:szCs w:val="21"/>
          <w:lang w:val="en-US" w:eastAsia="zh-CN"/>
        </w:rPr>
      </w:pPr>
      <w:r>
        <w:rPr>
          <w:rFonts w:hint="eastAsia" w:ascii="Times New Roman" w:hAnsi="Times New Roman" w:eastAsia="宋体"/>
          <w:szCs w:val="21"/>
        </w:rPr>
        <w:t>The project was supported by the National Social Science Foundation of China (Series number: 24BTJ067), the National Science Foundation of Fujian Province (2025J01671)</w:t>
      </w:r>
      <w:r>
        <w:rPr>
          <w:rFonts w:hint="eastAsia" w:ascii="Times New Roman" w:hAnsi="Times New Roman" w:eastAsia="宋体"/>
          <w:szCs w:val="21"/>
          <w:lang w:val="en-US" w:eastAsia="zh-CN"/>
        </w:rPr>
        <w:t xml:space="preserve"> and Open Fund of Xiamen Software Supply Chain Security Public Technology  </w:t>
      </w:r>
      <w:r>
        <w:rPr>
          <w:rFonts w:hint="default" w:ascii="Times New Roman" w:hAnsi="Times New Roman" w:eastAsia="宋体"/>
          <w:szCs w:val="21"/>
          <w:lang w:val="en-US" w:eastAsia="zh-CN"/>
        </w:rPr>
        <w:t>Service Platform (3502Z20231042).</w:t>
      </w:r>
    </w:p>
    <w:p w14:paraId="761A7EEF">
      <w:pPr>
        <w:spacing w:line="360" w:lineRule="auto"/>
        <w:ind w:firstLine="420" w:firstLineChars="200"/>
        <w:rPr>
          <w:rFonts w:hint="eastAsia" w:ascii="Times New Roman" w:hAnsi="Times New Roman" w:eastAsia="宋体"/>
          <w:szCs w:val="21"/>
          <w:lang w:val="en-US" w:eastAsia="zh-CN"/>
        </w:rPr>
      </w:pPr>
    </w:p>
    <w:p w14:paraId="29BDCFA9">
      <w:pPr>
        <w:widowControl/>
        <w:adjustRightInd w:val="0"/>
        <w:snapToGrid w:val="0"/>
        <w:spacing w:line="360" w:lineRule="auto"/>
        <w:textAlignment w:val="center"/>
        <w:rPr>
          <w:rFonts w:ascii="Times New Roman" w:hAnsi="Times New Roman"/>
          <w:b/>
          <w:szCs w:val="21"/>
        </w:rPr>
      </w:pPr>
      <w:r>
        <w:t xml:space="preserve"> </w:t>
      </w:r>
      <w:r>
        <w:rPr>
          <w:rFonts w:ascii="Times New Roman" w:hAnsi="Times New Roman"/>
          <w:b/>
          <w:szCs w:val="21"/>
        </w:rPr>
        <w:t>Acknowledgements</w:t>
      </w:r>
    </w:p>
    <w:p w14:paraId="1C96F753">
      <w:pPr>
        <w:spacing w:line="360" w:lineRule="auto"/>
        <w:ind w:firstLine="420" w:firstLineChars="200"/>
        <w:rPr>
          <w:rFonts w:ascii="Times New Roman" w:hAnsi="Times New Roman" w:eastAsia="宋体"/>
          <w:szCs w:val="21"/>
        </w:rPr>
      </w:pPr>
      <w:r>
        <w:rPr>
          <w:rFonts w:ascii="Times New Roman" w:hAnsi="Times New Roman" w:eastAsia="宋体"/>
          <w:szCs w:val="21"/>
        </w:rPr>
        <w:t>The authors are most grateful to the anonymous referees, the Associate Editor and the Editor for valuable suggestions which helped signiﬁcantly improving an earlier version of this paper.</w:t>
      </w:r>
    </w:p>
    <w:p w14:paraId="669AEA3D">
      <w:pPr>
        <w:adjustRightInd w:val="0"/>
        <w:snapToGrid w:val="0"/>
        <w:spacing w:before="240" w:beforeLines="100" w:after="240" w:afterLines="100" w:line="360" w:lineRule="auto"/>
        <w:jc w:val="left"/>
        <w:rPr>
          <w:rFonts w:ascii="Times New Roman" w:hAnsi="Times New Roman" w:eastAsia="宋体" w:cs="Times New Roman"/>
          <w:b/>
          <w:bCs/>
          <w:szCs w:val="21"/>
        </w:rPr>
      </w:pPr>
      <w:r>
        <w:rPr>
          <w:rFonts w:ascii="Times New Roman" w:hAnsi="Times New Roman" w:eastAsia="宋体" w:cs="Times New Roman"/>
          <w:b/>
          <w:bCs/>
          <w:szCs w:val="21"/>
        </w:rPr>
        <w:t>Declaration of competing interest</w:t>
      </w:r>
    </w:p>
    <w:p w14:paraId="6019241D">
      <w:pPr>
        <w:snapToGrid w:val="0"/>
        <w:spacing w:line="360" w:lineRule="auto"/>
        <w:ind w:firstLine="420" w:firstLineChars="200"/>
        <w:rPr>
          <w:rFonts w:ascii="Times New Roman" w:hAnsi="Times New Roman" w:cs="Times New Roman"/>
          <w:szCs w:val="21"/>
        </w:rPr>
      </w:pPr>
      <w:r>
        <w:rPr>
          <w:rFonts w:ascii="Times New Roman" w:hAnsi="Times New Roman" w:cs="Times New Roman"/>
          <w:szCs w:val="21"/>
        </w:rPr>
        <w:t>The authors declare that they have no known competing financial</w:t>
      </w:r>
      <w:r>
        <w:rPr>
          <w:rFonts w:hint="eastAsia" w:ascii="Times New Roman" w:hAnsi="Times New Roman" w:cs="Times New Roman"/>
          <w:szCs w:val="21"/>
        </w:rPr>
        <w:t xml:space="preserve"> </w:t>
      </w:r>
      <w:r>
        <w:rPr>
          <w:rFonts w:ascii="Times New Roman" w:hAnsi="Times New Roman" w:cs="Times New Roman"/>
          <w:szCs w:val="21"/>
        </w:rPr>
        <w:t>interests or personal relationships that could have appeared to influence</w:t>
      </w:r>
      <w:r>
        <w:rPr>
          <w:rFonts w:hint="eastAsia" w:ascii="Times New Roman" w:hAnsi="Times New Roman" w:cs="Times New Roman"/>
          <w:szCs w:val="21"/>
        </w:rPr>
        <w:t xml:space="preserve"> </w:t>
      </w:r>
      <w:r>
        <w:rPr>
          <w:rFonts w:ascii="Times New Roman" w:hAnsi="Times New Roman" w:cs="Times New Roman"/>
          <w:szCs w:val="21"/>
        </w:rPr>
        <w:t>the work reported in this paper.</w:t>
      </w:r>
    </w:p>
    <w:p w14:paraId="3F8B5356">
      <w:pPr>
        <w:adjustRightInd w:val="0"/>
        <w:snapToGrid w:val="0"/>
        <w:spacing w:before="240" w:beforeLines="100" w:after="240" w:afterLines="100" w:line="360" w:lineRule="auto"/>
        <w:jc w:val="left"/>
        <w:rPr>
          <w:rFonts w:ascii="Times New Roman" w:hAnsi="Times New Roman" w:eastAsia="宋体" w:cs="Times New Roman"/>
          <w:b/>
          <w:bCs/>
          <w:szCs w:val="21"/>
        </w:rPr>
      </w:pPr>
      <w:r>
        <w:rPr>
          <w:rFonts w:ascii="Times New Roman" w:hAnsi="Times New Roman" w:eastAsia="宋体" w:cs="Times New Roman"/>
          <w:b/>
          <w:bCs/>
          <w:szCs w:val="21"/>
        </w:rPr>
        <w:t>Data availability</w:t>
      </w:r>
    </w:p>
    <w:p w14:paraId="7FD8A4FD">
      <w:pPr>
        <w:adjustRightInd w:val="0"/>
        <w:snapToGrid w:val="0"/>
        <w:spacing w:before="240" w:beforeLines="100" w:after="240" w:afterLines="100" w:line="360" w:lineRule="auto"/>
        <w:ind w:firstLine="420" w:firstLineChars="200"/>
        <w:jc w:val="both"/>
      </w:pPr>
      <w:r>
        <w:rPr>
          <w:rFonts w:ascii="Times New Roman" w:hAnsi="Times New Roman" w:eastAsia="宋体" w:cs="Times New Roman"/>
          <w:bCs/>
          <w:szCs w:val="21"/>
        </w:rPr>
        <w:t xml:space="preserve">The </w:t>
      </w:r>
      <w:r>
        <w:rPr>
          <w:rFonts w:ascii="Times New Roman" w:hAnsi="Times New Roman" w:cs="Times New Roman"/>
          <w:szCs w:val="21"/>
          <w:lang w:val="en-US" w:eastAsia="zh-CN"/>
        </w:rPr>
        <w:t xml:space="preserve">datasets and materials supporting the findings of this study are available as Supplementary Information accompanying this manuscript. These include the cleaned panel dataset, variable definitions, </w:t>
      </w:r>
      <w:r>
        <w:rPr>
          <w:rFonts w:hint="eastAsia" w:ascii="Times New Roman" w:hAnsi="Times New Roman" w:cs="Times New Roman"/>
          <w:szCs w:val="21"/>
          <w:lang w:val="en-US" w:eastAsia="zh-CN"/>
        </w:rPr>
        <w:t xml:space="preserve">and </w:t>
      </w:r>
      <w:r>
        <w:rPr>
          <w:rFonts w:ascii="Times New Roman" w:hAnsi="Times New Roman" w:cs="Times New Roman"/>
          <w:szCs w:val="21"/>
          <w:lang w:val="en-US" w:eastAsia="zh-CN"/>
        </w:rPr>
        <w:t>transformation logs. All supplementary files have been uploaded to the journal’s submission system and are accessible for peer review purposes.</w:t>
      </w:r>
    </w:p>
    <w:p w14:paraId="6294DA32">
      <w:pPr>
        <w:adjustRightInd w:val="0"/>
        <w:snapToGrid w:val="0"/>
        <w:spacing w:before="240" w:beforeLines="100" w:after="240" w:afterLines="100" w:line="360" w:lineRule="auto"/>
        <w:jc w:val="left"/>
        <w:rPr>
          <w:rFonts w:ascii="Times New Roman" w:hAnsi="Times New Roman" w:eastAsia="宋体" w:cs="Times New Roman"/>
          <w:b/>
          <w:bCs/>
          <w:szCs w:val="21"/>
          <w:lang w:val="en-US" w:eastAsia="zh-CN"/>
        </w:rPr>
      </w:pPr>
      <w:r>
        <w:rPr>
          <w:rFonts w:ascii="Times New Roman" w:hAnsi="Times New Roman" w:eastAsia="宋体" w:cs="Times New Roman"/>
          <w:b/>
          <w:bCs/>
          <w:szCs w:val="21"/>
          <w:lang w:val="en-US" w:eastAsia="zh-CN"/>
        </w:rPr>
        <w:t>Ethics declarations</w:t>
      </w:r>
    </w:p>
    <w:p w14:paraId="69C20DDE">
      <w:pPr>
        <w:adjustRightInd w:val="0"/>
        <w:snapToGrid w:val="0"/>
        <w:spacing w:before="240" w:beforeLines="100" w:after="240" w:afterLines="100" w:line="360" w:lineRule="auto"/>
        <w:ind w:firstLine="420" w:firstLineChars="200"/>
        <w:jc w:val="both"/>
        <w:rPr>
          <w:rFonts w:ascii="Times New Roman" w:hAnsi="Times New Roman" w:eastAsia="宋体" w:cs="Times New Roman"/>
          <w:bCs/>
          <w:szCs w:val="21"/>
          <w:lang w:val="en-US" w:eastAsia="zh-CN"/>
        </w:rPr>
      </w:pPr>
      <w:r>
        <w:rPr>
          <w:rFonts w:ascii="Times New Roman" w:hAnsi="Times New Roman" w:eastAsia="宋体" w:cs="Times New Roman"/>
          <w:bCs/>
          <w:szCs w:val="21"/>
        </w:rPr>
        <w:t xml:space="preserve">This study did not involve human participants, animal experiments, or any sensitive personal information. All data used are derived from publicly available statistical sources and have been processed in compliance with relevant data protection regulations. </w:t>
      </w:r>
      <w:r>
        <w:rPr>
          <w:rFonts w:hint="eastAsia" w:ascii="Times New Roman" w:hAnsi="Times New Roman" w:eastAsia="宋体" w:cs="Times New Roman"/>
          <w:bCs/>
          <w:szCs w:val="21"/>
        </w:rPr>
        <w:t xml:space="preserve">Therefore, ethical approval and informed consent are not applicable. </w:t>
      </w:r>
      <w:bookmarkStart w:id="83" w:name="_GoBack"/>
      <w:bookmarkEnd w:id="83"/>
    </w:p>
    <w:p w14:paraId="498AB3C0">
      <w:pPr>
        <w:adjustRightInd w:val="0"/>
        <w:snapToGrid w:val="0"/>
        <w:spacing w:before="240" w:beforeLines="100" w:after="240" w:afterLines="100" w:line="360" w:lineRule="auto"/>
        <w:ind w:firstLine="420" w:firstLineChars="200"/>
        <w:jc w:val="left"/>
        <w:rPr>
          <w:rFonts w:ascii="Times New Roman" w:hAnsi="Times New Roman" w:eastAsia="宋体" w:cs="Times New Roman"/>
          <w:bCs/>
          <w:szCs w:val="21"/>
        </w:rPr>
      </w:pPr>
    </w:p>
    <w:p w14:paraId="74593D55">
      <w:pPr>
        <w:spacing w:line="480" w:lineRule="auto"/>
        <w:rPr>
          <w:rFonts w:ascii="Times New Roman" w:hAnsi="Times New Roman" w:cs="Times New Roman"/>
          <w:szCs w:val="24"/>
        </w:rPr>
      </w:pPr>
    </w:p>
    <w:p w14:paraId="5F1DEBB4">
      <w:pPr>
        <w:rPr>
          <w:rFonts w:hint="eastAsia" w:ascii="Times New Roman" w:hAnsi="Times New Roman" w:eastAsia="宋体"/>
          <w:sz w:val="24"/>
          <w:szCs w:val="24"/>
        </w:rPr>
      </w:pPr>
    </w:p>
    <w:bookmarkEnd w:id="32"/>
    <w:p w14:paraId="4E1DF482">
      <w:pPr>
        <w:widowControl/>
        <w:jc w:val="left"/>
        <w:rPr>
          <w:rFonts w:ascii="Times New Roman" w:hAnsi="Times New Roman" w:eastAsia="宋体"/>
          <w:sz w:val="24"/>
        </w:rPr>
      </w:pPr>
      <w:r>
        <w:rPr>
          <w:rFonts w:ascii="Times New Roman" w:hAnsi="Times New Roman" w:eastAsia="宋体"/>
          <w:sz w:val="24"/>
        </w:rPr>
        <w:br w:type="page"/>
      </w:r>
    </w:p>
    <w:p w14:paraId="28C38061">
      <w:pPr>
        <w:spacing w:before="120" w:beforeLines="50" w:after="120" w:afterLines="50" w:line="480" w:lineRule="auto"/>
        <w:rPr>
          <w:rFonts w:ascii="Times New Roman" w:hAnsi="Times New Roman" w:eastAsia="等线" w:cs="Times New Roman"/>
          <w:b/>
          <w:bCs/>
          <w:szCs w:val="24"/>
        </w:rPr>
      </w:pPr>
      <w:r>
        <w:rPr>
          <w:rFonts w:hint="eastAsia" w:ascii="Times New Roman" w:hAnsi="Times New Roman" w:eastAsia="等线" w:cs="Times New Roman"/>
          <w:b/>
          <w:bCs/>
          <w:szCs w:val="24"/>
        </w:rPr>
        <w:t>Reference</w:t>
      </w:r>
    </w:p>
    <w:p w14:paraId="5075810C">
      <w:pPr>
        <w:pStyle w:val="53"/>
        <w:spacing w:line="480" w:lineRule="auto"/>
        <w:ind w:left="420" w:hanging="420" w:hangingChars="200"/>
        <w:rPr>
          <w:sz w:val="21"/>
          <w:szCs w:val="21"/>
        </w:rPr>
      </w:pPr>
      <w:r>
        <w:rPr>
          <w:rFonts w:eastAsia="宋体"/>
          <w:sz w:val="21"/>
          <w:szCs w:val="21"/>
        </w:rPr>
        <w:fldChar w:fldCharType="begin"/>
      </w:r>
      <w:r>
        <w:rPr>
          <w:rFonts w:eastAsia="宋体"/>
          <w:sz w:val="21"/>
          <w:szCs w:val="21"/>
        </w:rPr>
        <w:instrText xml:space="preserve"> ADDIN EN.REFLIST </w:instrText>
      </w:r>
      <w:r>
        <w:rPr>
          <w:rFonts w:eastAsia="宋体"/>
          <w:sz w:val="21"/>
          <w:szCs w:val="21"/>
        </w:rPr>
        <w:fldChar w:fldCharType="separate"/>
      </w:r>
      <w:bookmarkStart w:id="33" w:name="_ENREF_1"/>
      <w:r>
        <w:rPr>
          <w:rFonts w:hint="eastAsia"/>
          <w:sz w:val="21"/>
          <w:szCs w:val="21"/>
        </w:rPr>
        <w:t xml:space="preserve">Asghar, M., Ayaz, M. &amp; Ali, S. (2025). Ecological resilience in crisis: Analyzing the role of urban land use and institutional policies. </w:t>
      </w:r>
      <w:r>
        <w:rPr>
          <w:rFonts w:hint="eastAsia"/>
          <w:i/>
          <w:sz w:val="21"/>
          <w:szCs w:val="21"/>
        </w:rPr>
        <w:t>Land Use Policy</w:t>
      </w:r>
      <w:r>
        <w:rPr>
          <w:rFonts w:hint="eastAsia"/>
          <w:sz w:val="21"/>
          <w:szCs w:val="21"/>
        </w:rPr>
        <w:t>, 151, 107492.</w:t>
      </w:r>
      <w:r>
        <w:rPr>
          <w:sz w:val="21"/>
          <w:szCs w:val="21"/>
        </w:rPr>
        <w:br w:type="textWrapping"/>
      </w:r>
      <w:r>
        <w:fldChar w:fldCharType="begin"/>
      </w:r>
      <w:r>
        <w:instrText xml:space="preserve"> HYPERLINK "https://doi.org/10.1016/j.landusepol.2025.107492" </w:instrText>
      </w:r>
      <w:r>
        <w:fldChar w:fldCharType="separate"/>
      </w:r>
      <w:r>
        <w:rPr>
          <w:rStyle w:val="23"/>
          <w:rFonts w:hint="eastAsia"/>
          <w:sz w:val="21"/>
          <w:szCs w:val="21"/>
        </w:rPr>
        <w:t>https://doi.org/10.1016/j.landusepol.2025.107492</w:t>
      </w:r>
      <w:bookmarkEnd w:id="33"/>
      <w:r>
        <w:rPr>
          <w:rStyle w:val="23"/>
          <w:rFonts w:hint="eastAsia"/>
          <w:sz w:val="21"/>
          <w:szCs w:val="21"/>
        </w:rPr>
        <w:fldChar w:fldCharType="end"/>
      </w:r>
    </w:p>
    <w:p w14:paraId="23D6CAB0">
      <w:pPr>
        <w:pStyle w:val="53"/>
        <w:spacing w:line="480" w:lineRule="auto"/>
        <w:ind w:left="420" w:hanging="420" w:hangingChars="200"/>
        <w:rPr>
          <w:sz w:val="21"/>
          <w:szCs w:val="21"/>
        </w:rPr>
      </w:pPr>
      <w:bookmarkStart w:id="34" w:name="_ENREF_2"/>
      <w:r>
        <w:rPr>
          <w:rFonts w:hint="eastAsia"/>
          <w:sz w:val="21"/>
          <w:szCs w:val="21"/>
        </w:rPr>
        <w:t xml:space="preserve">Bai, X., Shi, P. &amp; Liu, Y. (2014). Society: Realizing China's urban dream. </w:t>
      </w:r>
      <w:r>
        <w:rPr>
          <w:rFonts w:hint="eastAsia"/>
          <w:i/>
          <w:sz w:val="21"/>
          <w:szCs w:val="21"/>
        </w:rPr>
        <w:t>Nature</w:t>
      </w:r>
      <w:r>
        <w:rPr>
          <w:rFonts w:hint="eastAsia"/>
          <w:sz w:val="21"/>
          <w:szCs w:val="21"/>
        </w:rPr>
        <w:t xml:space="preserve">, 509(7499), 158–160. </w:t>
      </w:r>
      <w:r>
        <w:fldChar w:fldCharType="begin"/>
      </w:r>
      <w:r>
        <w:instrText xml:space="preserve"> HYPERLINK "https://doi.org/10.1038/509158a" </w:instrText>
      </w:r>
      <w:r>
        <w:fldChar w:fldCharType="separate"/>
      </w:r>
      <w:r>
        <w:rPr>
          <w:rStyle w:val="23"/>
          <w:rFonts w:hint="eastAsia"/>
          <w:sz w:val="21"/>
          <w:szCs w:val="21"/>
        </w:rPr>
        <w:t>https://doi.org/10.1038/509158a</w:t>
      </w:r>
      <w:bookmarkEnd w:id="34"/>
      <w:r>
        <w:rPr>
          <w:rStyle w:val="23"/>
          <w:rFonts w:hint="eastAsia"/>
          <w:sz w:val="21"/>
          <w:szCs w:val="21"/>
        </w:rPr>
        <w:fldChar w:fldCharType="end"/>
      </w:r>
    </w:p>
    <w:p w14:paraId="0DB1C4E4">
      <w:pPr>
        <w:pStyle w:val="53"/>
        <w:spacing w:line="480" w:lineRule="auto"/>
        <w:ind w:left="420" w:hanging="420" w:hangingChars="200"/>
        <w:rPr>
          <w:sz w:val="21"/>
          <w:szCs w:val="21"/>
        </w:rPr>
      </w:pPr>
      <w:bookmarkStart w:id="35" w:name="_ENREF_3"/>
      <w:r>
        <w:rPr>
          <w:rFonts w:hint="eastAsia"/>
          <w:sz w:val="21"/>
          <w:szCs w:val="21"/>
        </w:rPr>
        <w:t xml:space="preserve">Beckers, V., Poelmans, L., Van Rompaey, A. &amp; Dendoncker, N. (2020). The impact of urbanization on agricultural dynamics: a case study in Belgium. </w:t>
      </w:r>
      <w:r>
        <w:rPr>
          <w:rFonts w:hint="eastAsia"/>
          <w:i/>
          <w:sz w:val="21"/>
          <w:szCs w:val="21"/>
        </w:rPr>
        <w:t>Journal of Land Use Science</w:t>
      </w:r>
      <w:r>
        <w:rPr>
          <w:rFonts w:hint="eastAsia"/>
          <w:sz w:val="21"/>
          <w:szCs w:val="21"/>
        </w:rPr>
        <w:t xml:space="preserve">, 15(5), 626–643. </w:t>
      </w:r>
      <w:r>
        <w:fldChar w:fldCharType="begin"/>
      </w:r>
      <w:r>
        <w:instrText xml:space="preserve"> HYPERLINK "https://doi.org/10.1080/1747423x.2020.1769211" </w:instrText>
      </w:r>
      <w:r>
        <w:fldChar w:fldCharType="separate"/>
      </w:r>
      <w:r>
        <w:rPr>
          <w:rStyle w:val="23"/>
          <w:rFonts w:hint="eastAsia"/>
          <w:sz w:val="21"/>
          <w:szCs w:val="21"/>
        </w:rPr>
        <w:t>https://doi.org/10.1080/1747423x.2020.1769211</w:t>
      </w:r>
      <w:bookmarkEnd w:id="35"/>
      <w:r>
        <w:rPr>
          <w:rStyle w:val="23"/>
          <w:rFonts w:hint="eastAsia"/>
          <w:sz w:val="21"/>
          <w:szCs w:val="21"/>
        </w:rPr>
        <w:fldChar w:fldCharType="end"/>
      </w:r>
    </w:p>
    <w:p w14:paraId="474F7669">
      <w:pPr>
        <w:pStyle w:val="53"/>
        <w:spacing w:line="480" w:lineRule="auto"/>
        <w:ind w:left="420" w:hanging="420" w:hangingChars="200"/>
        <w:rPr>
          <w:sz w:val="21"/>
          <w:szCs w:val="21"/>
        </w:rPr>
      </w:pPr>
      <w:bookmarkStart w:id="36" w:name="_ENREF_4"/>
      <w:r>
        <w:rPr>
          <w:rFonts w:hint="eastAsia"/>
          <w:sz w:val="21"/>
          <w:szCs w:val="21"/>
        </w:rPr>
        <w:t xml:space="preserve">Cao, Y., Cai, H., Sun, S., Gu, X., Mu, Q., Duan, W. &amp; Zhao, Z. (2022). Effects of drip irrigation methods on yield and water productivity of maize in Northwest China. </w:t>
      </w:r>
      <w:r>
        <w:rPr>
          <w:rFonts w:hint="eastAsia"/>
          <w:i/>
          <w:sz w:val="21"/>
          <w:szCs w:val="21"/>
        </w:rPr>
        <w:t>Agricultural water management</w:t>
      </w:r>
      <w:r>
        <w:rPr>
          <w:rFonts w:hint="eastAsia"/>
          <w:sz w:val="21"/>
          <w:szCs w:val="21"/>
        </w:rPr>
        <w:t xml:space="preserve">, 259, 107227. </w:t>
      </w:r>
      <w:r>
        <w:fldChar w:fldCharType="begin"/>
      </w:r>
      <w:r>
        <w:instrText xml:space="preserve"> HYPERLINK "https://doi.org/10.1016/j.agwat.2021.107227" </w:instrText>
      </w:r>
      <w:r>
        <w:fldChar w:fldCharType="separate"/>
      </w:r>
      <w:r>
        <w:rPr>
          <w:rStyle w:val="23"/>
          <w:rFonts w:hint="eastAsia"/>
          <w:sz w:val="21"/>
          <w:szCs w:val="21"/>
        </w:rPr>
        <w:t>https://doi.org/10.1016/j.agwat.2021.107227</w:t>
      </w:r>
      <w:bookmarkEnd w:id="36"/>
      <w:r>
        <w:rPr>
          <w:rStyle w:val="23"/>
          <w:rFonts w:hint="eastAsia"/>
          <w:sz w:val="21"/>
          <w:szCs w:val="21"/>
        </w:rPr>
        <w:fldChar w:fldCharType="end"/>
      </w:r>
    </w:p>
    <w:p w14:paraId="0EA048CC">
      <w:pPr>
        <w:pStyle w:val="53"/>
        <w:spacing w:line="480" w:lineRule="auto"/>
        <w:ind w:left="420" w:hanging="420" w:hangingChars="200"/>
        <w:rPr>
          <w:sz w:val="21"/>
          <w:szCs w:val="21"/>
        </w:rPr>
      </w:pPr>
      <w:bookmarkStart w:id="37" w:name="_ENREF_6"/>
      <w:r>
        <w:rPr>
          <w:rFonts w:hint="eastAsia"/>
          <w:sz w:val="21"/>
          <w:szCs w:val="21"/>
        </w:rPr>
        <w:t xml:space="preserve">Chen, R., Wang, Y., Wang, Q., Zhang, L. &amp; Xiong, R. (2025). Unleashing the digital dividend: Exploring how the digital economy promotes the construction of new urbanization in China’s 284 prefecture-level cities? </w:t>
      </w:r>
      <w:r>
        <w:rPr>
          <w:rFonts w:hint="eastAsia"/>
          <w:i/>
          <w:sz w:val="21"/>
          <w:szCs w:val="21"/>
        </w:rPr>
        <w:t>Economic Analysis and Policy</w:t>
      </w:r>
      <w:r>
        <w:rPr>
          <w:rFonts w:hint="eastAsia"/>
          <w:sz w:val="21"/>
          <w:szCs w:val="21"/>
        </w:rPr>
        <w:t>, 85, 818–834.</w:t>
      </w:r>
      <w:r>
        <w:rPr>
          <w:sz w:val="21"/>
          <w:szCs w:val="21"/>
        </w:rPr>
        <w:br w:type="textWrapping"/>
      </w:r>
      <w:r>
        <w:fldChar w:fldCharType="begin"/>
      </w:r>
      <w:r>
        <w:instrText xml:space="preserve"> HYPERLINK "https://doi.org/10.1016/j.eap.2024.12.028" </w:instrText>
      </w:r>
      <w:r>
        <w:fldChar w:fldCharType="separate"/>
      </w:r>
      <w:r>
        <w:rPr>
          <w:rStyle w:val="23"/>
          <w:rFonts w:hint="eastAsia"/>
          <w:sz w:val="21"/>
          <w:szCs w:val="21"/>
        </w:rPr>
        <w:t>https://doi.org/10.1016/j.eap.2024.12.028</w:t>
      </w:r>
      <w:bookmarkEnd w:id="37"/>
      <w:r>
        <w:rPr>
          <w:rStyle w:val="23"/>
          <w:rFonts w:hint="eastAsia"/>
          <w:sz w:val="21"/>
          <w:szCs w:val="21"/>
        </w:rPr>
        <w:fldChar w:fldCharType="end"/>
      </w:r>
    </w:p>
    <w:p w14:paraId="5CC99218">
      <w:pPr>
        <w:pStyle w:val="53"/>
        <w:spacing w:line="480" w:lineRule="auto"/>
        <w:ind w:left="420" w:hanging="420" w:hangingChars="200"/>
        <w:rPr>
          <w:sz w:val="21"/>
          <w:szCs w:val="21"/>
        </w:rPr>
      </w:pPr>
      <w:bookmarkStart w:id="38" w:name="_ENREF_7"/>
      <w:r>
        <w:rPr>
          <w:rFonts w:hint="eastAsia"/>
          <w:sz w:val="21"/>
          <w:szCs w:val="21"/>
        </w:rPr>
        <w:t xml:space="preserve">Cui, Z., Li, E., Li, Y., Deng, Q. &amp; Shahtahmassebi, A. (2023). The impact of poverty alleviation policies on rural economic resilience in impoverished areas: A case study of Lankao County, China. </w:t>
      </w:r>
      <w:r>
        <w:rPr>
          <w:rFonts w:hint="eastAsia"/>
          <w:i/>
          <w:sz w:val="21"/>
          <w:szCs w:val="21"/>
        </w:rPr>
        <w:t>Journal of Rural Studies</w:t>
      </w:r>
      <w:r>
        <w:rPr>
          <w:rFonts w:hint="eastAsia"/>
          <w:sz w:val="21"/>
          <w:szCs w:val="21"/>
        </w:rPr>
        <w:t xml:space="preserve">, 99, 92–106. </w:t>
      </w:r>
      <w:r>
        <w:fldChar w:fldCharType="begin"/>
      </w:r>
      <w:r>
        <w:instrText xml:space="preserve"> HYPERLINK "https://doi.org/10.1016/j.jrurstud.2023.03.007" </w:instrText>
      </w:r>
      <w:r>
        <w:fldChar w:fldCharType="separate"/>
      </w:r>
      <w:r>
        <w:rPr>
          <w:rStyle w:val="23"/>
          <w:rFonts w:hint="eastAsia"/>
          <w:sz w:val="21"/>
          <w:szCs w:val="21"/>
        </w:rPr>
        <w:t>https://doi.org/10.1016/j.jrurstud.2023.03.007</w:t>
      </w:r>
      <w:bookmarkEnd w:id="38"/>
      <w:r>
        <w:rPr>
          <w:rStyle w:val="23"/>
          <w:rFonts w:hint="eastAsia"/>
          <w:sz w:val="21"/>
          <w:szCs w:val="21"/>
        </w:rPr>
        <w:fldChar w:fldCharType="end"/>
      </w:r>
    </w:p>
    <w:p w14:paraId="7B010103">
      <w:pPr>
        <w:pStyle w:val="53"/>
        <w:spacing w:line="480" w:lineRule="auto"/>
        <w:ind w:left="420" w:hanging="420" w:hangingChars="200"/>
        <w:rPr>
          <w:sz w:val="21"/>
          <w:szCs w:val="21"/>
        </w:rPr>
      </w:pPr>
      <w:bookmarkStart w:id="39" w:name="_ENREF_8"/>
      <w:r>
        <w:rPr>
          <w:rFonts w:hint="eastAsia"/>
          <w:sz w:val="21"/>
          <w:szCs w:val="21"/>
        </w:rPr>
        <w:t xml:space="preserve">Du, M., Lei, J. &amp; Li, S. (2025a). Navigating the Path to Food Security in China: Challenges, Policies, and Future Directions. </w:t>
      </w:r>
      <w:r>
        <w:rPr>
          <w:rFonts w:hint="eastAsia"/>
          <w:i/>
          <w:sz w:val="21"/>
          <w:szCs w:val="21"/>
        </w:rPr>
        <w:t>Foods</w:t>
      </w:r>
      <w:r>
        <w:rPr>
          <w:rFonts w:hint="eastAsia"/>
          <w:sz w:val="21"/>
          <w:szCs w:val="21"/>
        </w:rPr>
        <w:t xml:space="preserve">, 14(4), 644. </w:t>
      </w:r>
      <w:r>
        <w:fldChar w:fldCharType="begin"/>
      </w:r>
      <w:r>
        <w:instrText xml:space="preserve"> HYPERLINK "https://doi.org/10.3390/foods14040644" </w:instrText>
      </w:r>
      <w:r>
        <w:fldChar w:fldCharType="separate"/>
      </w:r>
      <w:r>
        <w:rPr>
          <w:rStyle w:val="23"/>
          <w:rFonts w:hint="eastAsia"/>
          <w:sz w:val="21"/>
          <w:szCs w:val="21"/>
        </w:rPr>
        <w:t>https://doi.org/10.3390/foods14040644</w:t>
      </w:r>
      <w:bookmarkEnd w:id="39"/>
      <w:r>
        <w:rPr>
          <w:rStyle w:val="23"/>
          <w:rFonts w:hint="eastAsia"/>
          <w:sz w:val="21"/>
          <w:szCs w:val="21"/>
        </w:rPr>
        <w:fldChar w:fldCharType="end"/>
      </w:r>
    </w:p>
    <w:p w14:paraId="37104B10">
      <w:pPr>
        <w:pStyle w:val="53"/>
        <w:spacing w:line="480" w:lineRule="auto"/>
        <w:ind w:left="420" w:hanging="420" w:hangingChars="200"/>
        <w:rPr>
          <w:rFonts w:hint="eastAsia"/>
          <w:sz w:val="21"/>
          <w:szCs w:val="21"/>
        </w:rPr>
      </w:pPr>
      <w:bookmarkStart w:id="40" w:name="_ENREF_9"/>
      <w:r>
        <w:rPr>
          <w:rFonts w:hint="eastAsia"/>
          <w:sz w:val="21"/>
          <w:szCs w:val="21"/>
        </w:rPr>
        <w:t xml:space="preserve">Du, Y., Wang, Q., Song, Y. &amp; Xin, Y. (2025b). How cross-regional collaborative innovation networks affect regional economic resilience: Evidence from 283 cities in China. </w:t>
      </w:r>
      <w:r>
        <w:rPr>
          <w:rFonts w:hint="eastAsia"/>
          <w:i/>
          <w:sz w:val="21"/>
          <w:szCs w:val="21"/>
        </w:rPr>
        <w:t>Technological Forecasting and Social Change</w:t>
      </w:r>
      <w:r>
        <w:rPr>
          <w:rFonts w:hint="eastAsia"/>
          <w:sz w:val="21"/>
          <w:szCs w:val="21"/>
        </w:rPr>
        <w:t xml:space="preserve">, 215, 124057. </w:t>
      </w:r>
    </w:p>
    <w:p w14:paraId="219564A6">
      <w:pPr>
        <w:pStyle w:val="53"/>
        <w:spacing w:line="480" w:lineRule="auto"/>
        <w:ind w:left="399" w:leftChars="190" w:firstLine="0" w:firstLineChars="0"/>
        <w:rPr>
          <w:sz w:val="21"/>
          <w:szCs w:val="21"/>
        </w:rPr>
      </w:pPr>
      <w:r>
        <w:fldChar w:fldCharType="begin"/>
      </w:r>
      <w:r>
        <w:instrText xml:space="preserve"> HYPERLINK "https://doi.org/10.1016/j.techfore.2025.124057" </w:instrText>
      </w:r>
      <w:r>
        <w:fldChar w:fldCharType="separate"/>
      </w:r>
      <w:r>
        <w:rPr>
          <w:rStyle w:val="23"/>
          <w:rFonts w:hint="eastAsia"/>
          <w:sz w:val="21"/>
          <w:szCs w:val="21"/>
        </w:rPr>
        <w:t>https://doi.org/10.1016/j.techfore.2025.124057</w:t>
      </w:r>
      <w:bookmarkEnd w:id="40"/>
      <w:r>
        <w:rPr>
          <w:rStyle w:val="23"/>
          <w:rFonts w:hint="eastAsia"/>
          <w:sz w:val="21"/>
          <w:szCs w:val="21"/>
        </w:rPr>
        <w:fldChar w:fldCharType="end"/>
      </w:r>
    </w:p>
    <w:p w14:paraId="07517B72">
      <w:pPr>
        <w:pStyle w:val="53"/>
        <w:spacing w:line="480" w:lineRule="auto"/>
        <w:ind w:left="420" w:hanging="420" w:hangingChars="200"/>
        <w:rPr>
          <w:sz w:val="21"/>
          <w:szCs w:val="21"/>
        </w:rPr>
      </w:pPr>
      <w:bookmarkStart w:id="41" w:name="_ENREF_10"/>
      <w:r>
        <w:rPr>
          <w:rFonts w:hint="eastAsia"/>
          <w:sz w:val="21"/>
          <w:szCs w:val="21"/>
        </w:rPr>
        <w:t xml:space="preserve">Du, Y., Wang, Q. &amp; Zhou, J. (2023). How does digital inclusive finance affect economic resilience: Evidence from 285 cities in China. </w:t>
      </w:r>
      <w:r>
        <w:rPr>
          <w:rFonts w:hint="eastAsia"/>
          <w:i/>
          <w:sz w:val="21"/>
          <w:szCs w:val="21"/>
        </w:rPr>
        <w:t>International Review of Financial Analysis</w:t>
      </w:r>
      <w:r>
        <w:rPr>
          <w:rFonts w:hint="eastAsia"/>
          <w:sz w:val="21"/>
          <w:szCs w:val="21"/>
        </w:rPr>
        <w:t xml:space="preserve">, 88, 102709. </w:t>
      </w:r>
      <w:r>
        <w:fldChar w:fldCharType="begin"/>
      </w:r>
      <w:r>
        <w:instrText xml:space="preserve"> HYPERLINK "https://doi.org/10.1016/j.irfa.2023.102709" </w:instrText>
      </w:r>
      <w:r>
        <w:fldChar w:fldCharType="separate"/>
      </w:r>
      <w:r>
        <w:rPr>
          <w:rStyle w:val="23"/>
          <w:rFonts w:hint="eastAsia"/>
          <w:sz w:val="21"/>
          <w:szCs w:val="21"/>
        </w:rPr>
        <w:t>https://doi.org/10.1016/j.irfa.2023.102709</w:t>
      </w:r>
      <w:bookmarkEnd w:id="41"/>
      <w:r>
        <w:rPr>
          <w:rStyle w:val="23"/>
          <w:rFonts w:hint="eastAsia"/>
          <w:sz w:val="21"/>
          <w:szCs w:val="21"/>
        </w:rPr>
        <w:fldChar w:fldCharType="end"/>
      </w:r>
    </w:p>
    <w:p w14:paraId="3E75F162">
      <w:pPr>
        <w:pStyle w:val="53"/>
        <w:spacing w:line="480" w:lineRule="auto"/>
        <w:ind w:left="420" w:hanging="420" w:hangingChars="200"/>
        <w:rPr>
          <w:sz w:val="21"/>
          <w:szCs w:val="21"/>
        </w:rPr>
      </w:pPr>
      <w:bookmarkStart w:id="42" w:name="_ENREF_11"/>
      <w:r>
        <w:rPr>
          <w:rFonts w:hint="eastAsia"/>
          <w:sz w:val="21"/>
          <w:szCs w:val="21"/>
        </w:rPr>
        <w:t xml:space="preserve">Duan, W., Madasi, J. D., Khurshid, A. &amp; Ma, D. (2022). Industrial structure conditions economic resilience. </w:t>
      </w:r>
      <w:r>
        <w:rPr>
          <w:rFonts w:hint="eastAsia"/>
          <w:i/>
          <w:sz w:val="21"/>
          <w:szCs w:val="21"/>
        </w:rPr>
        <w:t>Technological Forecasting and Social Change</w:t>
      </w:r>
      <w:r>
        <w:rPr>
          <w:rFonts w:hint="eastAsia"/>
          <w:sz w:val="21"/>
          <w:szCs w:val="21"/>
        </w:rPr>
        <w:t>, 183, 121944.</w:t>
      </w:r>
      <w:r>
        <w:rPr>
          <w:sz w:val="21"/>
          <w:szCs w:val="21"/>
        </w:rPr>
        <w:br w:type="textWrapping"/>
      </w:r>
      <w:r>
        <w:fldChar w:fldCharType="begin"/>
      </w:r>
      <w:r>
        <w:instrText xml:space="preserve"> HYPERLINK "https://doi.org/10.1016/j.techfore.2022.121944" </w:instrText>
      </w:r>
      <w:r>
        <w:fldChar w:fldCharType="separate"/>
      </w:r>
      <w:r>
        <w:rPr>
          <w:rStyle w:val="23"/>
          <w:rFonts w:hint="eastAsia"/>
          <w:sz w:val="21"/>
          <w:szCs w:val="21"/>
        </w:rPr>
        <w:t>https://doi.org/10.1016/j.techfore.2022.121944</w:t>
      </w:r>
      <w:bookmarkEnd w:id="42"/>
      <w:r>
        <w:rPr>
          <w:rStyle w:val="23"/>
          <w:rFonts w:hint="eastAsia"/>
          <w:sz w:val="21"/>
          <w:szCs w:val="21"/>
        </w:rPr>
        <w:fldChar w:fldCharType="end"/>
      </w:r>
    </w:p>
    <w:p w14:paraId="663593F7">
      <w:pPr>
        <w:pStyle w:val="53"/>
        <w:spacing w:line="480" w:lineRule="auto"/>
        <w:ind w:left="420" w:hanging="420" w:hangingChars="200"/>
        <w:rPr>
          <w:sz w:val="21"/>
          <w:szCs w:val="21"/>
        </w:rPr>
      </w:pPr>
      <w:bookmarkStart w:id="43" w:name="_ENREF_12"/>
      <w:r>
        <w:rPr>
          <w:rFonts w:hint="eastAsia"/>
          <w:sz w:val="21"/>
          <w:szCs w:val="21"/>
        </w:rPr>
        <w:t xml:space="preserve">Edelman, M., Weis, T., Baviskar, A., Borras, S. M., Holt-Giménez, E., Kandiyoti, D. &amp; Wolford, W. (2014). Introduction: critical perspectives on food sovereignty. </w:t>
      </w:r>
      <w:r>
        <w:rPr>
          <w:rFonts w:hint="eastAsia"/>
          <w:i/>
          <w:sz w:val="21"/>
          <w:szCs w:val="21"/>
        </w:rPr>
        <w:t>The Journal of Peasant Studies</w:t>
      </w:r>
      <w:r>
        <w:rPr>
          <w:rFonts w:hint="eastAsia"/>
          <w:sz w:val="21"/>
          <w:szCs w:val="21"/>
        </w:rPr>
        <w:t xml:space="preserve">, 41(6), 911–931. </w:t>
      </w:r>
      <w:r>
        <w:fldChar w:fldCharType="begin"/>
      </w:r>
      <w:r>
        <w:instrText xml:space="preserve"> HYPERLINK "https://doi.org/10.1080/03066150.2014.963568" </w:instrText>
      </w:r>
      <w:r>
        <w:fldChar w:fldCharType="separate"/>
      </w:r>
      <w:r>
        <w:rPr>
          <w:rStyle w:val="23"/>
          <w:rFonts w:hint="eastAsia"/>
          <w:sz w:val="21"/>
          <w:szCs w:val="21"/>
        </w:rPr>
        <w:t>https://doi.org/10.1080/03066150.2014.963568</w:t>
      </w:r>
      <w:bookmarkEnd w:id="43"/>
      <w:r>
        <w:rPr>
          <w:rStyle w:val="23"/>
          <w:rFonts w:hint="eastAsia"/>
          <w:sz w:val="21"/>
          <w:szCs w:val="21"/>
        </w:rPr>
        <w:fldChar w:fldCharType="end"/>
      </w:r>
    </w:p>
    <w:p w14:paraId="71A6F33C">
      <w:pPr>
        <w:pStyle w:val="53"/>
        <w:spacing w:line="480" w:lineRule="auto"/>
        <w:ind w:left="420" w:hanging="420" w:hangingChars="200"/>
        <w:rPr>
          <w:sz w:val="21"/>
          <w:szCs w:val="21"/>
        </w:rPr>
      </w:pPr>
      <w:bookmarkStart w:id="44" w:name="_ENREF_13"/>
      <w:r>
        <w:rPr>
          <w:rFonts w:hint="eastAsia"/>
          <w:sz w:val="21"/>
          <w:szCs w:val="21"/>
        </w:rPr>
        <w:t xml:space="preserve">Fan, P., Mishra, A. K., Feng, S., Su, M. &amp; Hirsch, S. (2023). The impact of China’s new agricultural subsidy policy on grain crop acreage. </w:t>
      </w:r>
      <w:r>
        <w:rPr>
          <w:rFonts w:hint="eastAsia"/>
          <w:i/>
          <w:sz w:val="21"/>
          <w:szCs w:val="21"/>
        </w:rPr>
        <w:t>Food Policy</w:t>
      </w:r>
      <w:r>
        <w:rPr>
          <w:rFonts w:hint="eastAsia"/>
          <w:sz w:val="21"/>
          <w:szCs w:val="21"/>
        </w:rPr>
        <w:t>, 118, 102472.</w:t>
      </w:r>
      <w:r>
        <w:rPr>
          <w:sz w:val="21"/>
          <w:szCs w:val="21"/>
        </w:rPr>
        <w:br w:type="textWrapping"/>
      </w:r>
      <w:r>
        <w:fldChar w:fldCharType="begin"/>
      </w:r>
      <w:r>
        <w:instrText xml:space="preserve"> HYPERLINK "https://doi.org/10.1016/j.foodpol.2023.102472" </w:instrText>
      </w:r>
      <w:r>
        <w:fldChar w:fldCharType="separate"/>
      </w:r>
      <w:r>
        <w:rPr>
          <w:rStyle w:val="23"/>
          <w:rFonts w:hint="eastAsia"/>
          <w:sz w:val="21"/>
          <w:szCs w:val="21"/>
        </w:rPr>
        <w:t>https://doi.org/10.1016/j.foodpol.2023.102472</w:t>
      </w:r>
      <w:bookmarkEnd w:id="44"/>
      <w:r>
        <w:rPr>
          <w:rStyle w:val="23"/>
          <w:rFonts w:hint="eastAsia"/>
          <w:sz w:val="21"/>
          <w:szCs w:val="21"/>
        </w:rPr>
        <w:fldChar w:fldCharType="end"/>
      </w:r>
    </w:p>
    <w:p w14:paraId="778A2C55">
      <w:pPr>
        <w:pStyle w:val="53"/>
        <w:spacing w:line="480" w:lineRule="auto"/>
        <w:ind w:left="420" w:hanging="420" w:hangingChars="200"/>
        <w:rPr>
          <w:sz w:val="21"/>
          <w:szCs w:val="21"/>
        </w:rPr>
      </w:pPr>
      <w:bookmarkStart w:id="45" w:name="_ENREF_15"/>
      <w:r>
        <w:rPr>
          <w:rFonts w:hint="eastAsia"/>
          <w:sz w:val="21"/>
          <w:szCs w:val="21"/>
        </w:rPr>
        <w:t xml:space="preserve">Feng, Y., Yuan, H., Liu, Y. &amp; Zhang, S. (2023). Does new-type urbanization policy promote green energy efficiency? Evidence from a quasi-natural experiment in China. </w:t>
      </w:r>
      <w:r>
        <w:rPr>
          <w:rFonts w:hint="eastAsia"/>
          <w:i/>
          <w:sz w:val="21"/>
          <w:szCs w:val="21"/>
        </w:rPr>
        <w:t>Energy Economics</w:t>
      </w:r>
      <w:r>
        <w:rPr>
          <w:rFonts w:hint="eastAsia"/>
          <w:sz w:val="21"/>
          <w:szCs w:val="21"/>
        </w:rPr>
        <w:t xml:space="preserve">, 124, 106752. </w:t>
      </w:r>
      <w:r>
        <w:fldChar w:fldCharType="begin"/>
      </w:r>
      <w:r>
        <w:instrText xml:space="preserve"> HYPERLINK "https://doi.org/10.1016/j.eneco.2023.106752" </w:instrText>
      </w:r>
      <w:r>
        <w:fldChar w:fldCharType="separate"/>
      </w:r>
      <w:r>
        <w:rPr>
          <w:rStyle w:val="23"/>
          <w:rFonts w:hint="eastAsia"/>
          <w:sz w:val="21"/>
          <w:szCs w:val="21"/>
        </w:rPr>
        <w:t>https://doi.org/10.1016/j.eneco.2023.106752</w:t>
      </w:r>
      <w:bookmarkEnd w:id="45"/>
      <w:r>
        <w:rPr>
          <w:rStyle w:val="23"/>
          <w:rFonts w:hint="eastAsia"/>
          <w:sz w:val="21"/>
          <w:szCs w:val="21"/>
        </w:rPr>
        <w:fldChar w:fldCharType="end"/>
      </w:r>
    </w:p>
    <w:p w14:paraId="740C136E">
      <w:pPr>
        <w:pStyle w:val="53"/>
        <w:spacing w:line="480" w:lineRule="auto"/>
        <w:ind w:left="420" w:hanging="420" w:hangingChars="200"/>
        <w:rPr>
          <w:sz w:val="21"/>
          <w:szCs w:val="21"/>
        </w:rPr>
      </w:pPr>
      <w:bookmarkStart w:id="46" w:name="_ENREF_16"/>
      <w:r>
        <w:rPr>
          <w:rFonts w:hint="eastAsia"/>
          <w:sz w:val="21"/>
          <w:szCs w:val="21"/>
        </w:rPr>
        <w:t xml:space="preserve">Gao, Q., Sun, M. &amp; Chen, L. (2024). The impact of digital inclusive finance on agricultural economic resilience. </w:t>
      </w:r>
      <w:r>
        <w:rPr>
          <w:rFonts w:hint="eastAsia"/>
          <w:i/>
          <w:sz w:val="21"/>
          <w:szCs w:val="21"/>
        </w:rPr>
        <w:t>Finance Research Letters</w:t>
      </w:r>
      <w:r>
        <w:rPr>
          <w:rFonts w:hint="eastAsia"/>
          <w:sz w:val="21"/>
          <w:szCs w:val="21"/>
        </w:rPr>
        <w:t>, 66, 105679.</w:t>
      </w:r>
      <w:r>
        <w:rPr>
          <w:sz w:val="21"/>
          <w:szCs w:val="21"/>
        </w:rPr>
        <w:br w:type="textWrapping"/>
      </w:r>
      <w:r>
        <w:fldChar w:fldCharType="begin"/>
      </w:r>
      <w:r>
        <w:instrText xml:space="preserve"> HYPERLINK "https://doi.org/10.1016/j.frl.2024.105679" </w:instrText>
      </w:r>
      <w:r>
        <w:fldChar w:fldCharType="separate"/>
      </w:r>
      <w:r>
        <w:rPr>
          <w:rStyle w:val="23"/>
          <w:rFonts w:hint="eastAsia"/>
          <w:sz w:val="21"/>
          <w:szCs w:val="21"/>
        </w:rPr>
        <w:t>https://doi.org/10.1016/j.frl.2024.105679</w:t>
      </w:r>
      <w:bookmarkEnd w:id="46"/>
      <w:r>
        <w:rPr>
          <w:rStyle w:val="23"/>
          <w:rFonts w:hint="eastAsia"/>
          <w:sz w:val="21"/>
          <w:szCs w:val="21"/>
        </w:rPr>
        <w:fldChar w:fldCharType="end"/>
      </w:r>
    </w:p>
    <w:p w14:paraId="7D541A9B">
      <w:pPr>
        <w:pStyle w:val="53"/>
        <w:spacing w:line="480" w:lineRule="auto"/>
        <w:ind w:left="420" w:hanging="420" w:hangingChars="200"/>
        <w:rPr>
          <w:sz w:val="21"/>
          <w:szCs w:val="21"/>
        </w:rPr>
      </w:pPr>
      <w:bookmarkStart w:id="47" w:name="_ENREF_17"/>
      <w:r>
        <w:rPr>
          <w:rFonts w:hint="eastAsia"/>
          <w:sz w:val="21"/>
          <w:szCs w:val="21"/>
        </w:rPr>
        <w:t xml:space="preserve">Guo, J., Xiao, D., Sun, X., Guo, F., Xue, S. &amp; Fan, L. (2024). Drought risk assessment on arid region under different socioeconomic scenarios: A case of Loess Plateau, China. </w:t>
      </w:r>
      <w:r>
        <w:rPr>
          <w:rFonts w:hint="eastAsia"/>
          <w:i/>
          <w:sz w:val="21"/>
          <w:szCs w:val="21"/>
        </w:rPr>
        <w:t>Ecological Indicators</w:t>
      </w:r>
      <w:r>
        <w:rPr>
          <w:rFonts w:hint="eastAsia"/>
          <w:sz w:val="21"/>
          <w:szCs w:val="21"/>
        </w:rPr>
        <w:t xml:space="preserve">, 167, 112728. </w:t>
      </w:r>
      <w:r>
        <w:fldChar w:fldCharType="begin"/>
      </w:r>
      <w:r>
        <w:instrText xml:space="preserve"> HYPERLINK "https://doi.org/10.1016/j.ecolind.2024.112728" </w:instrText>
      </w:r>
      <w:r>
        <w:fldChar w:fldCharType="separate"/>
      </w:r>
      <w:r>
        <w:rPr>
          <w:rStyle w:val="23"/>
          <w:rFonts w:hint="eastAsia"/>
          <w:sz w:val="21"/>
          <w:szCs w:val="21"/>
        </w:rPr>
        <w:t>https://doi.org/10.1016/j.ecolind.2024.112728</w:t>
      </w:r>
      <w:bookmarkEnd w:id="47"/>
      <w:r>
        <w:rPr>
          <w:rStyle w:val="23"/>
          <w:rFonts w:hint="eastAsia"/>
          <w:sz w:val="21"/>
          <w:szCs w:val="21"/>
        </w:rPr>
        <w:fldChar w:fldCharType="end"/>
      </w:r>
    </w:p>
    <w:p w14:paraId="69857860">
      <w:pPr>
        <w:pStyle w:val="53"/>
        <w:spacing w:line="480" w:lineRule="auto"/>
        <w:ind w:left="420" w:hanging="420" w:hangingChars="200"/>
        <w:rPr>
          <w:sz w:val="21"/>
          <w:szCs w:val="21"/>
        </w:rPr>
      </w:pPr>
      <w:bookmarkStart w:id="48" w:name="_ENREF_18"/>
      <w:r>
        <w:rPr>
          <w:rFonts w:hint="eastAsia"/>
          <w:sz w:val="21"/>
          <w:szCs w:val="21"/>
        </w:rPr>
        <w:t xml:space="preserve">Han, P., Liu, H. &amp; Chen, Y. (2025). Aging, financial coverage, and agricultural economic resilience: Nonlinear dynamics and thresholds. </w:t>
      </w:r>
      <w:r>
        <w:rPr>
          <w:rFonts w:hint="eastAsia"/>
          <w:i/>
          <w:sz w:val="21"/>
          <w:szCs w:val="21"/>
        </w:rPr>
        <w:t>Finance Research Letters</w:t>
      </w:r>
      <w:r>
        <w:rPr>
          <w:rFonts w:hint="eastAsia"/>
          <w:sz w:val="21"/>
          <w:szCs w:val="21"/>
        </w:rPr>
        <w:t>, e107518.</w:t>
      </w:r>
      <w:r>
        <w:rPr>
          <w:sz w:val="21"/>
          <w:szCs w:val="21"/>
        </w:rPr>
        <w:br w:type="textWrapping"/>
      </w:r>
      <w:r>
        <w:fldChar w:fldCharType="begin"/>
      </w:r>
      <w:r>
        <w:instrText xml:space="preserve"> HYPERLINK "https://doi.org/10.1016/j.frl.2025.107518" </w:instrText>
      </w:r>
      <w:r>
        <w:fldChar w:fldCharType="separate"/>
      </w:r>
      <w:r>
        <w:rPr>
          <w:rStyle w:val="23"/>
          <w:rFonts w:hint="eastAsia"/>
          <w:sz w:val="21"/>
          <w:szCs w:val="21"/>
        </w:rPr>
        <w:t>https://doi.org/10.1016/j.frl.2025.107518</w:t>
      </w:r>
      <w:bookmarkEnd w:id="48"/>
      <w:r>
        <w:rPr>
          <w:rStyle w:val="23"/>
          <w:rFonts w:hint="eastAsia"/>
          <w:sz w:val="21"/>
          <w:szCs w:val="21"/>
        </w:rPr>
        <w:fldChar w:fldCharType="end"/>
      </w:r>
    </w:p>
    <w:p w14:paraId="7C12008E">
      <w:pPr>
        <w:pStyle w:val="53"/>
        <w:spacing w:line="480" w:lineRule="auto"/>
        <w:ind w:left="420" w:hanging="420" w:hangingChars="200"/>
        <w:rPr>
          <w:sz w:val="21"/>
          <w:szCs w:val="21"/>
        </w:rPr>
      </w:pPr>
      <w:bookmarkStart w:id="49" w:name="_ENREF_19"/>
      <w:r>
        <w:rPr>
          <w:rFonts w:hint="eastAsia"/>
          <w:sz w:val="21"/>
          <w:szCs w:val="21"/>
        </w:rPr>
        <w:t xml:space="preserve">Han, S., Wang, H., Ao, Y., Wang, B., Chen, B. &amp; Martek, I. (2024). Resilient city construction efficiency and its influencing factors in China's Chengdu-Chongqing Economic Circle: Considering both construction input and resilience level of the city. </w:t>
      </w:r>
      <w:r>
        <w:rPr>
          <w:rFonts w:hint="eastAsia"/>
          <w:i/>
          <w:sz w:val="21"/>
          <w:szCs w:val="21"/>
        </w:rPr>
        <w:t>Sustainable Cities and Society</w:t>
      </w:r>
      <w:r>
        <w:rPr>
          <w:rFonts w:hint="eastAsia"/>
          <w:sz w:val="21"/>
          <w:szCs w:val="21"/>
        </w:rPr>
        <w:t xml:space="preserve">, 114, 105726. </w:t>
      </w:r>
      <w:r>
        <w:fldChar w:fldCharType="begin"/>
      </w:r>
      <w:r>
        <w:instrText xml:space="preserve"> HYPERLINK "https://doi.org/10.1016/j.scs.2024.105726" </w:instrText>
      </w:r>
      <w:r>
        <w:fldChar w:fldCharType="separate"/>
      </w:r>
      <w:r>
        <w:rPr>
          <w:rStyle w:val="23"/>
          <w:rFonts w:hint="eastAsia"/>
          <w:sz w:val="21"/>
          <w:szCs w:val="21"/>
        </w:rPr>
        <w:t>https://doi.org/10.1016/j.scs.2024.105726</w:t>
      </w:r>
      <w:bookmarkEnd w:id="49"/>
      <w:r>
        <w:rPr>
          <w:rStyle w:val="23"/>
          <w:rFonts w:hint="eastAsia"/>
          <w:sz w:val="21"/>
          <w:szCs w:val="21"/>
        </w:rPr>
        <w:fldChar w:fldCharType="end"/>
      </w:r>
    </w:p>
    <w:p w14:paraId="729C6138">
      <w:pPr>
        <w:pStyle w:val="53"/>
        <w:spacing w:line="480" w:lineRule="auto"/>
        <w:ind w:left="420" w:hanging="420" w:hangingChars="200"/>
        <w:rPr>
          <w:sz w:val="21"/>
          <w:szCs w:val="21"/>
        </w:rPr>
      </w:pPr>
      <w:bookmarkStart w:id="50" w:name="_ENREF_21"/>
      <w:r>
        <w:rPr>
          <w:rFonts w:hint="eastAsia"/>
          <w:sz w:val="21"/>
          <w:szCs w:val="21"/>
        </w:rPr>
        <w:t>Holling, C. S. 1973. Resilience and stability of ecological systems. International Institute for Applied Systems Analysis Laxenburg.</w:t>
      </w:r>
      <w:bookmarkEnd w:id="50"/>
      <w:r>
        <w:rPr>
          <w:rFonts w:ascii="Segoe UI" w:hAnsi="Segoe UI" w:cs="Segoe UI" w:eastAsiaTheme="minorEastAsia"/>
          <w:kern w:val="0"/>
          <w:sz w:val="22"/>
        </w:rPr>
        <w:t xml:space="preserve"> </w:t>
      </w:r>
    </w:p>
    <w:p w14:paraId="2ED8EEEC">
      <w:pPr>
        <w:pStyle w:val="53"/>
        <w:spacing w:line="480" w:lineRule="auto"/>
        <w:ind w:left="420" w:hanging="420" w:hangingChars="200"/>
        <w:rPr>
          <w:sz w:val="21"/>
          <w:szCs w:val="21"/>
        </w:rPr>
      </w:pPr>
      <w:bookmarkStart w:id="51" w:name="_ENREF_22"/>
      <w:r>
        <w:rPr>
          <w:rFonts w:hint="eastAsia"/>
          <w:sz w:val="21"/>
          <w:szCs w:val="21"/>
        </w:rPr>
        <w:t xml:space="preserve">Huiqiang, X. &amp; Xiaodi, W. (2023). Impact and its mechanism of urban-rural integration on the efficiency of agricultural carbon emissions in China. </w:t>
      </w:r>
      <w:r>
        <w:rPr>
          <w:rFonts w:hint="eastAsia"/>
          <w:i/>
          <w:sz w:val="21"/>
          <w:szCs w:val="21"/>
        </w:rPr>
        <w:t>Resources Science</w:t>
      </w:r>
      <w:r>
        <w:rPr>
          <w:rFonts w:hint="eastAsia"/>
          <w:sz w:val="21"/>
          <w:szCs w:val="21"/>
        </w:rPr>
        <w:t xml:space="preserve">, 45(1), 48–61. </w:t>
      </w:r>
      <w:r>
        <w:fldChar w:fldCharType="begin"/>
      </w:r>
      <w:r>
        <w:instrText xml:space="preserve"> HYPERLINK "https://doi.org/10.18402/resci.2023.01.04" </w:instrText>
      </w:r>
      <w:r>
        <w:fldChar w:fldCharType="separate"/>
      </w:r>
      <w:r>
        <w:rPr>
          <w:rStyle w:val="23"/>
          <w:rFonts w:hint="eastAsia"/>
          <w:sz w:val="21"/>
          <w:szCs w:val="21"/>
        </w:rPr>
        <w:t>https://doi.org/10.18402/resci.2023.01.04</w:t>
      </w:r>
      <w:bookmarkEnd w:id="51"/>
      <w:r>
        <w:rPr>
          <w:rStyle w:val="23"/>
          <w:rFonts w:hint="eastAsia"/>
          <w:sz w:val="21"/>
          <w:szCs w:val="21"/>
        </w:rPr>
        <w:fldChar w:fldCharType="end"/>
      </w:r>
    </w:p>
    <w:p w14:paraId="31C27CEA">
      <w:pPr>
        <w:pStyle w:val="53"/>
        <w:spacing w:line="480" w:lineRule="auto"/>
        <w:ind w:left="420" w:hanging="420" w:hangingChars="200"/>
        <w:rPr>
          <w:sz w:val="21"/>
          <w:szCs w:val="21"/>
        </w:rPr>
      </w:pPr>
      <w:bookmarkStart w:id="52" w:name="_ENREF_23"/>
      <w:r>
        <w:rPr>
          <w:rFonts w:hint="eastAsia"/>
          <w:sz w:val="21"/>
          <w:szCs w:val="21"/>
        </w:rPr>
        <w:t xml:space="preserve">Jetter, M. &amp; Parmeter, C. F. (2018). Does urbanization mean bigger governments? </w:t>
      </w:r>
      <w:r>
        <w:rPr>
          <w:rFonts w:hint="eastAsia"/>
          <w:i/>
          <w:sz w:val="21"/>
          <w:szCs w:val="21"/>
        </w:rPr>
        <w:t>The Scandinavian Journal of Economics</w:t>
      </w:r>
      <w:r>
        <w:rPr>
          <w:rFonts w:hint="eastAsia"/>
          <w:sz w:val="21"/>
          <w:szCs w:val="21"/>
        </w:rPr>
        <w:t xml:space="preserve">, 120(4), 1202–1228. </w:t>
      </w:r>
      <w:r>
        <w:fldChar w:fldCharType="begin"/>
      </w:r>
      <w:r>
        <w:instrText xml:space="preserve"> HYPERLINK "https://doi.org/10.1111/sjoe.12256" </w:instrText>
      </w:r>
      <w:r>
        <w:fldChar w:fldCharType="separate"/>
      </w:r>
      <w:r>
        <w:rPr>
          <w:rStyle w:val="23"/>
          <w:rFonts w:hint="eastAsia"/>
          <w:sz w:val="21"/>
          <w:szCs w:val="21"/>
        </w:rPr>
        <w:t>https://doi.org/10.1111/sjoe.12256</w:t>
      </w:r>
      <w:bookmarkEnd w:id="52"/>
      <w:r>
        <w:rPr>
          <w:rStyle w:val="23"/>
          <w:rFonts w:hint="eastAsia"/>
          <w:sz w:val="21"/>
          <w:szCs w:val="21"/>
        </w:rPr>
        <w:fldChar w:fldCharType="end"/>
      </w:r>
    </w:p>
    <w:p w14:paraId="3F0A489F">
      <w:pPr>
        <w:pStyle w:val="53"/>
        <w:spacing w:line="480" w:lineRule="auto"/>
        <w:ind w:left="420" w:hanging="420" w:hangingChars="200"/>
        <w:rPr>
          <w:sz w:val="21"/>
          <w:szCs w:val="21"/>
        </w:rPr>
      </w:pPr>
      <w:bookmarkStart w:id="53" w:name="_ENREF_24"/>
      <w:r>
        <w:rPr>
          <w:rFonts w:hint="eastAsia"/>
          <w:sz w:val="21"/>
          <w:szCs w:val="21"/>
        </w:rPr>
        <w:t xml:space="preserve">Lee, C.-C., Zeng, M. &amp; Luo, K. (2024). How does climate change affect food security? Evidence from China. </w:t>
      </w:r>
      <w:r>
        <w:rPr>
          <w:rFonts w:hint="eastAsia"/>
          <w:i/>
          <w:sz w:val="21"/>
          <w:szCs w:val="21"/>
        </w:rPr>
        <w:t>Environmental Impact Assessment Review</w:t>
      </w:r>
      <w:r>
        <w:rPr>
          <w:rFonts w:hint="eastAsia"/>
          <w:sz w:val="21"/>
          <w:szCs w:val="21"/>
        </w:rPr>
        <w:t>, 104, 107324.</w:t>
      </w:r>
      <w:r>
        <w:rPr>
          <w:sz w:val="21"/>
          <w:szCs w:val="21"/>
        </w:rPr>
        <w:br w:type="textWrapping"/>
      </w:r>
      <w:r>
        <w:fldChar w:fldCharType="begin"/>
      </w:r>
      <w:r>
        <w:instrText xml:space="preserve"> HYPERLINK "https://doi.org/10.1016/j.eiar.2023.107324" </w:instrText>
      </w:r>
      <w:r>
        <w:fldChar w:fldCharType="separate"/>
      </w:r>
      <w:r>
        <w:rPr>
          <w:rStyle w:val="23"/>
          <w:rFonts w:hint="eastAsia"/>
          <w:sz w:val="21"/>
          <w:szCs w:val="21"/>
        </w:rPr>
        <w:t>https://doi.org/10.1016/j.eiar.2023.107324</w:t>
      </w:r>
      <w:bookmarkEnd w:id="53"/>
      <w:r>
        <w:rPr>
          <w:rStyle w:val="23"/>
          <w:rFonts w:hint="eastAsia"/>
          <w:sz w:val="21"/>
          <w:szCs w:val="21"/>
        </w:rPr>
        <w:fldChar w:fldCharType="end"/>
      </w:r>
    </w:p>
    <w:p w14:paraId="0EB35890">
      <w:pPr>
        <w:pStyle w:val="53"/>
        <w:spacing w:line="480" w:lineRule="auto"/>
        <w:ind w:left="420" w:hanging="420" w:hangingChars="200"/>
        <w:rPr>
          <w:rFonts w:hint="eastAsia"/>
          <w:sz w:val="21"/>
          <w:szCs w:val="21"/>
        </w:rPr>
      </w:pPr>
      <w:bookmarkStart w:id="54" w:name="_ENREF_25"/>
      <w:r>
        <w:rPr>
          <w:rFonts w:hint="eastAsia"/>
          <w:sz w:val="21"/>
          <w:szCs w:val="21"/>
        </w:rPr>
        <w:t xml:space="preserve">Li, S. &amp; Jiang, F. (2022). A collaborative evolutionary model: The self-organizing evolutionary process of urban–rural digital sharing system of social public resources. </w:t>
      </w:r>
      <w:r>
        <w:rPr>
          <w:rFonts w:hint="eastAsia"/>
          <w:i/>
          <w:sz w:val="21"/>
          <w:szCs w:val="21"/>
        </w:rPr>
        <w:t>Journal of Economic Interaction and Coordination</w:t>
      </w:r>
      <w:r>
        <w:rPr>
          <w:rFonts w:hint="eastAsia"/>
          <w:sz w:val="21"/>
          <w:szCs w:val="21"/>
        </w:rPr>
        <w:t xml:space="preserve">, 17(4), 1115–1137. </w:t>
      </w:r>
    </w:p>
    <w:p w14:paraId="767A1B26">
      <w:pPr>
        <w:pStyle w:val="53"/>
        <w:spacing w:line="480" w:lineRule="auto"/>
        <w:ind w:left="399" w:leftChars="190" w:firstLine="0" w:firstLineChars="0"/>
        <w:rPr>
          <w:sz w:val="21"/>
          <w:szCs w:val="21"/>
        </w:rPr>
      </w:pPr>
      <w:r>
        <w:fldChar w:fldCharType="begin"/>
      </w:r>
      <w:r>
        <w:instrText xml:space="preserve"> HYPERLINK "https://doi.org/10.1007/s11403-022-00362-9" </w:instrText>
      </w:r>
      <w:r>
        <w:fldChar w:fldCharType="separate"/>
      </w:r>
      <w:r>
        <w:rPr>
          <w:rStyle w:val="23"/>
          <w:rFonts w:hint="eastAsia"/>
          <w:sz w:val="21"/>
          <w:szCs w:val="21"/>
        </w:rPr>
        <w:t>https://doi.org/10.1007/s11403-022-00362-9</w:t>
      </w:r>
      <w:bookmarkEnd w:id="54"/>
      <w:r>
        <w:rPr>
          <w:rStyle w:val="23"/>
          <w:rFonts w:hint="eastAsia"/>
          <w:sz w:val="21"/>
          <w:szCs w:val="21"/>
        </w:rPr>
        <w:fldChar w:fldCharType="end"/>
      </w:r>
    </w:p>
    <w:p w14:paraId="621D0C11">
      <w:pPr>
        <w:pStyle w:val="53"/>
        <w:spacing w:line="480" w:lineRule="auto"/>
        <w:ind w:left="420" w:hanging="420" w:hangingChars="200"/>
        <w:rPr>
          <w:sz w:val="21"/>
          <w:szCs w:val="21"/>
        </w:rPr>
      </w:pPr>
      <w:bookmarkStart w:id="55" w:name="_ENREF_26"/>
      <w:r>
        <w:rPr>
          <w:rFonts w:hint="eastAsia"/>
          <w:sz w:val="21"/>
          <w:szCs w:val="21"/>
        </w:rPr>
        <w:t xml:space="preserve">Li, W. &amp; Guo, J. (2025). Coupling coordination and obstacle factors of cultivated land system resilience and new urbanization. </w:t>
      </w:r>
      <w:r>
        <w:rPr>
          <w:rFonts w:hint="eastAsia"/>
          <w:i/>
          <w:sz w:val="21"/>
          <w:szCs w:val="21"/>
        </w:rPr>
        <w:t>Frontiers in Sustainable Food Systems</w:t>
      </w:r>
      <w:r>
        <w:rPr>
          <w:rFonts w:hint="eastAsia"/>
          <w:sz w:val="21"/>
          <w:szCs w:val="21"/>
        </w:rPr>
        <w:t>, 9, 1554797.</w:t>
      </w:r>
      <w:r>
        <w:rPr>
          <w:sz w:val="21"/>
          <w:szCs w:val="21"/>
        </w:rPr>
        <w:br w:type="textWrapping"/>
      </w:r>
      <w:r>
        <w:fldChar w:fldCharType="begin"/>
      </w:r>
      <w:r>
        <w:instrText xml:space="preserve"> HYPERLINK "https://doi.org/10.3389/fsufs.2025.1554797" </w:instrText>
      </w:r>
      <w:r>
        <w:fldChar w:fldCharType="separate"/>
      </w:r>
      <w:r>
        <w:rPr>
          <w:rStyle w:val="23"/>
          <w:rFonts w:hint="eastAsia"/>
          <w:sz w:val="21"/>
          <w:szCs w:val="21"/>
        </w:rPr>
        <w:t>https://doi.org/10.3389/fsufs.2025.1554797</w:t>
      </w:r>
      <w:bookmarkEnd w:id="55"/>
      <w:r>
        <w:rPr>
          <w:rStyle w:val="23"/>
          <w:rFonts w:hint="eastAsia"/>
          <w:sz w:val="21"/>
          <w:szCs w:val="21"/>
        </w:rPr>
        <w:fldChar w:fldCharType="end"/>
      </w:r>
    </w:p>
    <w:p w14:paraId="106A3EBD">
      <w:pPr>
        <w:pStyle w:val="53"/>
        <w:spacing w:line="480" w:lineRule="auto"/>
        <w:ind w:left="420" w:hanging="420" w:hangingChars="200"/>
        <w:rPr>
          <w:rStyle w:val="23"/>
          <w:rFonts w:hint="eastAsia"/>
          <w:sz w:val="21"/>
          <w:szCs w:val="21"/>
        </w:rPr>
      </w:pPr>
      <w:bookmarkStart w:id="56" w:name="_ENREF_27"/>
      <w:r>
        <w:rPr>
          <w:rFonts w:hint="eastAsia"/>
          <w:sz w:val="21"/>
          <w:szCs w:val="21"/>
        </w:rPr>
        <w:t xml:space="preserve">Li, Y., Gao, G., Wen, J., Zhao, N., Du, G. &amp; Stanny, M. (2025). The measurement of agricultural disaster vulnerability in China and implications for land-supported agricultural resilience building. </w:t>
      </w:r>
      <w:r>
        <w:rPr>
          <w:rFonts w:hint="eastAsia"/>
          <w:i/>
          <w:sz w:val="21"/>
          <w:szCs w:val="21"/>
        </w:rPr>
        <w:t>Land Use Policy</w:t>
      </w:r>
      <w:r>
        <w:rPr>
          <w:rFonts w:hint="eastAsia"/>
          <w:sz w:val="21"/>
          <w:szCs w:val="21"/>
        </w:rPr>
        <w:t xml:space="preserve">, 148, 107400. </w:t>
      </w:r>
      <w:r>
        <w:fldChar w:fldCharType="begin"/>
      </w:r>
      <w:r>
        <w:instrText xml:space="preserve"> HYPERLINK "https://doi.org/10.1016/j.landusepol.2024.107400" </w:instrText>
      </w:r>
      <w:r>
        <w:fldChar w:fldCharType="separate"/>
      </w:r>
      <w:r>
        <w:rPr>
          <w:rStyle w:val="23"/>
          <w:rFonts w:hint="eastAsia"/>
          <w:sz w:val="21"/>
          <w:szCs w:val="21"/>
        </w:rPr>
        <w:t>https://doi.org/10.1016/j.landusepol.2024.107400</w:t>
      </w:r>
      <w:bookmarkEnd w:id="56"/>
      <w:r>
        <w:rPr>
          <w:rStyle w:val="23"/>
          <w:rFonts w:hint="eastAsia"/>
          <w:sz w:val="21"/>
          <w:szCs w:val="21"/>
        </w:rPr>
        <w:fldChar w:fldCharType="end"/>
      </w:r>
    </w:p>
    <w:p w14:paraId="420349EC">
      <w:pPr>
        <w:pStyle w:val="53"/>
        <w:spacing w:line="480" w:lineRule="auto"/>
        <w:ind w:left="420" w:hanging="420" w:hangingChars="200"/>
        <w:rPr>
          <w:rFonts w:ascii="Segoe UI" w:hAnsi="Segoe UI" w:eastAsia="Segoe UI" w:cs="Segoe UI"/>
          <w:i w:val="0"/>
          <w:iCs w:val="0"/>
          <w:caps w:val="0"/>
          <w:color w:val="222222"/>
          <w:spacing w:val="0"/>
          <w:sz w:val="19"/>
          <w:szCs w:val="19"/>
          <w:shd w:val="clear" w:fill="FFFFFF"/>
        </w:rPr>
      </w:pPr>
      <w:r>
        <w:rPr>
          <w:rFonts w:hint="eastAsia"/>
          <w:sz w:val="21"/>
          <w:szCs w:val="21"/>
        </w:rPr>
        <w:t>Li, H., Zhao, W., &amp; Wang, W. (2025). Can full-cost insurance enhance agricultural economic resilience?.</w:t>
      </w:r>
      <w:r>
        <w:rPr>
          <w:rFonts w:hint="default"/>
          <w:i/>
          <w:iCs/>
          <w:sz w:val="21"/>
          <w:szCs w:val="21"/>
        </w:rPr>
        <w:t> Humanities and Social Sciences Communications</w:t>
      </w:r>
      <w:r>
        <w:rPr>
          <w:rFonts w:hint="default"/>
          <w:sz w:val="21"/>
          <w:szCs w:val="21"/>
        </w:rPr>
        <w:t>, 12(1), 1-12.</w:t>
      </w:r>
      <w:r>
        <w:rPr>
          <w:rFonts w:ascii="Segoe UI" w:hAnsi="Segoe UI" w:eastAsia="Segoe UI" w:cs="Segoe UI"/>
          <w:i w:val="0"/>
          <w:iCs w:val="0"/>
          <w:caps w:val="0"/>
          <w:color w:val="222222"/>
          <w:spacing w:val="0"/>
          <w:sz w:val="19"/>
          <w:szCs w:val="19"/>
          <w:shd w:val="clear" w:fill="FFFFFF"/>
        </w:rPr>
        <w:t> </w:t>
      </w:r>
    </w:p>
    <w:p w14:paraId="5DA28A0A">
      <w:pPr>
        <w:pStyle w:val="53"/>
        <w:spacing w:line="480" w:lineRule="auto"/>
        <w:ind w:left="399" w:leftChars="190" w:firstLine="0" w:firstLineChars="0"/>
        <w:rPr>
          <w:rStyle w:val="23"/>
          <w:rFonts w:hint="eastAsia"/>
          <w:sz w:val="21"/>
          <w:szCs w:val="21"/>
        </w:rPr>
      </w:pPr>
      <w:r>
        <w:fldChar w:fldCharType="begin"/>
      </w:r>
      <w:r>
        <w:instrText xml:space="preserve"> HYPERLINK "https://doi.org/10.1016/j.landusepol.2024.107400" </w:instrText>
      </w:r>
      <w:r>
        <w:fldChar w:fldCharType="separate"/>
      </w:r>
      <w:r>
        <w:rPr>
          <w:rStyle w:val="23"/>
          <w:rFonts w:hint="eastAsia"/>
          <w:sz w:val="21"/>
          <w:szCs w:val="21"/>
        </w:rPr>
        <w:t>https://doi.org/10.10</w:t>
      </w:r>
      <w:r>
        <w:rPr>
          <w:rStyle w:val="23"/>
          <w:rFonts w:hint="eastAsia"/>
          <w:sz w:val="21"/>
          <w:szCs w:val="21"/>
          <w:lang w:val="en-US" w:eastAsia="zh-CN"/>
        </w:rPr>
        <w:t>57</w:t>
      </w:r>
      <w:r>
        <w:rPr>
          <w:rStyle w:val="23"/>
          <w:rFonts w:hint="eastAsia"/>
          <w:sz w:val="21"/>
          <w:szCs w:val="21"/>
        </w:rPr>
        <w:t>/</w:t>
      </w:r>
      <w:r>
        <w:rPr>
          <w:rStyle w:val="23"/>
          <w:rFonts w:hint="eastAsia"/>
          <w:sz w:val="21"/>
          <w:szCs w:val="21"/>
          <w:lang w:val="en-US" w:eastAsia="zh-CN"/>
        </w:rPr>
        <w:t>s41599-025-05885-7</w:t>
      </w:r>
      <w:r>
        <w:rPr>
          <w:rStyle w:val="23"/>
          <w:rFonts w:hint="eastAsia"/>
          <w:sz w:val="21"/>
          <w:szCs w:val="21"/>
        </w:rPr>
        <w:fldChar w:fldCharType="end"/>
      </w:r>
      <w:bookmarkStart w:id="57" w:name="_ENREF_28"/>
    </w:p>
    <w:p w14:paraId="7AD259E6">
      <w:pPr>
        <w:pStyle w:val="53"/>
        <w:spacing w:line="480" w:lineRule="auto"/>
        <w:ind w:left="420" w:hanging="420" w:hangingChars="200"/>
        <w:rPr>
          <w:sz w:val="21"/>
          <w:szCs w:val="21"/>
        </w:rPr>
      </w:pPr>
      <w:r>
        <w:rPr>
          <w:rFonts w:hint="eastAsia"/>
          <w:sz w:val="21"/>
          <w:szCs w:val="21"/>
        </w:rPr>
        <w:t xml:space="preserve">Liu, W., Liu, S. &amp; Liu, S. (2024). Coupling coordination analysis of population, economy and grain in major grain-producing counties. </w:t>
      </w:r>
      <w:r>
        <w:rPr>
          <w:rFonts w:hint="eastAsia"/>
          <w:i/>
          <w:sz w:val="21"/>
          <w:szCs w:val="21"/>
        </w:rPr>
        <w:t>Heliyon</w:t>
      </w:r>
      <w:r>
        <w:rPr>
          <w:rFonts w:hint="eastAsia"/>
          <w:sz w:val="21"/>
          <w:szCs w:val="21"/>
        </w:rPr>
        <w:t>, 10(1), e23869.</w:t>
      </w:r>
      <w:r>
        <w:rPr>
          <w:sz w:val="21"/>
          <w:szCs w:val="21"/>
        </w:rPr>
        <w:br w:type="textWrapping"/>
      </w:r>
      <w:r>
        <w:fldChar w:fldCharType="begin"/>
      </w:r>
      <w:r>
        <w:instrText xml:space="preserve"> HYPERLINK "https://doi.org/10.1016/j.heliyon.2023.e23869" </w:instrText>
      </w:r>
      <w:r>
        <w:fldChar w:fldCharType="separate"/>
      </w:r>
      <w:r>
        <w:rPr>
          <w:rStyle w:val="23"/>
          <w:rFonts w:hint="eastAsia"/>
          <w:sz w:val="21"/>
          <w:szCs w:val="21"/>
        </w:rPr>
        <w:t>https://doi.org/10.1016/j.heliyon.2023.e23869</w:t>
      </w:r>
      <w:bookmarkEnd w:id="57"/>
      <w:r>
        <w:rPr>
          <w:rStyle w:val="23"/>
          <w:rFonts w:hint="eastAsia"/>
          <w:sz w:val="21"/>
          <w:szCs w:val="21"/>
        </w:rPr>
        <w:fldChar w:fldCharType="end"/>
      </w:r>
    </w:p>
    <w:p w14:paraId="17524772">
      <w:pPr>
        <w:pStyle w:val="53"/>
        <w:spacing w:line="480" w:lineRule="auto"/>
        <w:ind w:left="420" w:hanging="420" w:hangingChars="200"/>
        <w:rPr>
          <w:rFonts w:hint="eastAsia"/>
          <w:sz w:val="21"/>
          <w:szCs w:val="21"/>
        </w:rPr>
      </w:pPr>
      <w:bookmarkStart w:id="58" w:name="_ENREF_29"/>
      <w:r>
        <w:rPr>
          <w:rFonts w:hint="eastAsia"/>
          <w:sz w:val="21"/>
          <w:szCs w:val="21"/>
        </w:rPr>
        <w:t xml:space="preserve">Liu, Y. &amp; Zhou, Y. (2021). Reflections on China's food security and land use policy under rapid urbanization. </w:t>
      </w:r>
      <w:r>
        <w:rPr>
          <w:rFonts w:hint="eastAsia"/>
          <w:i/>
          <w:sz w:val="21"/>
          <w:szCs w:val="21"/>
        </w:rPr>
        <w:t>Land use policy</w:t>
      </w:r>
      <w:r>
        <w:rPr>
          <w:rFonts w:hint="eastAsia"/>
          <w:sz w:val="21"/>
          <w:szCs w:val="21"/>
        </w:rPr>
        <w:t xml:space="preserve">, 109, 105699. </w:t>
      </w:r>
    </w:p>
    <w:p w14:paraId="6A65F6D1">
      <w:pPr>
        <w:pStyle w:val="53"/>
        <w:spacing w:line="480" w:lineRule="auto"/>
        <w:ind w:left="399" w:leftChars="190" w:firstLine="0" w:firstLineChars="0"/>
        <w:rPr>
          <w:sz w:val="21"/>
          <w:szCs w:val="21"/>
        </w:rPr>
      </w:pPr>
      <w:r>
        <w:fldChar w:fldCharType="begin"/>
      </w:r>
      <w:r>
        <w:instrText xml:space="preserve"> HYPERLINK "https://doi.org/10.1016/j.landusepol.2021.105699" </w:instrText>
      </w:r>
      <w:r>
        <w:fldChar w:fldCharType="separate"/>
      </w:r>
      <w:r>
        <w:rPr>
          <w:rStyle w:val="23"/>
          <w:rFonts w:hint="eastAsia"/>
          <w:sz w:val="21"/>
          <w:szCs w:val="21"/>
        </w:rPr>
        <w:t>https://doi.org/10.1016/j.landusepol.2021.105699</w:t>
      </w:r>
      <w:bookmarkEnd w:id="58"/>
      <w:r>
        <w:rPr>
          <w:rStyle w:val="23"/>
          <w:rFonts w:hint="eastAsia"/>
          <w:sz w:val="21"/>
          <w:szCs w:val="21"/>
        </w:rPr>
        <w:fldChar w:fldCharType="end"/>
      </w:r>
    </w:p>
    <w:p w14:paraId="51FD1905">
      <w:pPr>
        <w:pStyle w:val="53"/>
        <w:spacing w:line="480" w:lineRule="auto"/>
        <w:ind w:left="420" w:hanging="420" w:hangingChars="200"/>
        <w:rPr>
          <w:sz w:val="21"/>
          <w:szCs w:val="21"/>
        </w:rPr>
      </w:pPr>
      <w:bookmarkStart w:id="59" w:name="_ENREF_30"/>
      <w:r>
        <w:rPr>
          <w:rFonts w:hint="eastAsia"/>
          <w:sz w:val="21"/>
          <w:szCs w:val="21"/>
        </w:rPr>
        <w:t xml:space="preserve">Lu, J., Liu, L., Lei, Y. &amp; Wei, J. (2025). Assessing the Impact of Smart City Development on Urban Resilience: An Empirical Study Based on China’s Smart City Pilot Policy. </w:t>
      </w:r>
      <w:r>
        <w:rPr>
          <w:rFonts w:hint="eastAsia"/>
          <w:i/>
          <w:sz w:val="21"/>
          <w:szCs w:val="21"/>
        </w:rPr>
        <w:t>Sustainable Cities and Society</w:t>
      </w:r>
      <w:r>
        <w:rPr>
          <w:rFonts w:hint="eastAsia"/>
          <w:sz w:val="21"/>
          <w:szCs w:val="21"/>
        </w:rPr>
        <w:t xml:space="preserve">, 107029. </w:t>
      </w:r>
      <w:r>
        <w:fldChar w:fldCharType="begin"/>
      </w:r>
      <w:r>
        <w:instrText xml:space="preserve"> HYPERLINK "https://doi.org/10.1016/j.scs.2025.107029" </w:instrText>
      </w:r>
      <w:r>
        <w:fldChar w:fldCharType="separate"/>
      </w:r>
      <w:r>
        <w:rPr>
          <w:rStyle w:val="23"/>
          <w:rFonts w:hint="eastAsia"/>
          <w:sz w:val="21"/>
          <w:szCs w:val="21"/>
        </w:rPr>
        <w:t>https://doi.org/10.1016/j.scs.2025.107029</w:t>
      </w:r>
      <w:bookmarkEnd w:id="59"/>
      <w:r>
        <w:rPr>
          <w:rStyle w:val="23"/>
          <w:rFonts w:hint="eastAsia"/>
          <w:sz w:val="21"/>
          <w:szCs w:val="21"/>
        </w:rPr>
        <w:fldChar w:fldCharType="end"/>
      </w:r>
    </w:p>
    <w:p w14:paraId="29AAC070">
      <w:pPr>
        <w:pStyle w:val="53"/>
        <w:spacing w:line="480" w:lineRule="auto"/>
        <w:ind w:left="420" w:hanging="420" w:hangingChars="200"/>
        <w:rPr>
          <w:rFonts w:hint="eastAsia"/>
          <w:sz w:val="21"/>
          <w:szCs w:val="21"/>
        </w:rPr>
      </w:pPr>
      <w:bookmarkStart w:id="60" w:name="_ENREF_31"/>
      <w:r>
        <w:rPr>
          <w:rFonts w:hint="eastAsia"/>
          <w:sz w:val="21"/>
          <w:szCs w:val="21"/>
        </w:rPr>
        <w:t xml:space="preserve">Ma, H., Wang, K. &amp; Fang, C. (2025). How does new-type urbanization promote green development efficiency in China? The mediating role of governments, enterprises, and residents. </w:t>
      </w:r>
      <w:r>
        <w:rPr>
          <w:rFonts w:hint="eastAsia"/>
          <w:i/>
          <w:sz w:val="21"/>
          <w:szCs w:val="21"/>
        </w:rPr>
        <w:t>Geography and Sustainability</w:t>
      </w:r>
      <w:r>
        <w:rPr>
          <w:rFonts w:hint="eastAsia"/>
          <w:sz w:val="21"/>
          <w:szCs w:val="21"/>
        </w:rPr>
        <w:t xml:space="preserve">, 6(3), 100241. </w:t>
      </w:r>
    </w:p>
    <w:p w14:paraId="49C3140D">
      <w:pPr>
        <w:pStyle w:val="53"/>
        <w:spacing w:line="480" w:lineRule="auto"/>
        <w:ind w:left="399" w:leftChars="190" w:firstLine="0" w:firstLineChars="0"/>
        <w:rPr>
          <w:sz w:val="21"/>
          <w:szCs w:val="21"/>
        </w:rPr>
      </w:pPr>
      <w:r>
        <w:fldChar w:fldCharType="begin"/>
      </w:r>
      <w:r>
        <w:instrText xml:space="preserve"> HYPERLINK "https://doi.org/10.1016/j.geosus.2024.10.001" </w:instrText>
      </w:r>
      <w:r>
        <w:fldChar w:fldCharType="separate"/>
      </w:r>
      <w:r>
        <w:rPr>
          <w:rStyle w:val="23"/>
          <w:rFonts w:hint="eastAsia"/>
          <w:sz w:val="21"/>
          <w:szCs w:val="21"/>
        </w:rPr>
        <w:t>https://doi.org/10.1016/j.geosus.2024.10.001</w:t>
      </w:r>
      <w:bookmarkEnd w:id="60"/>
      <w:r>
        <w:rPr>
          <w:rStyle w:val="23"/>
          <w:rFonts w:hint="eastAsia"/>
          <w:sz w:val="21"/>
          <w:szCs w:val="21"/>
        </w:rPr>
        <w:fldChar w:fldCharType="end"/>
      </w:r>
    </w:p>
    <w:p w14:paraId="37AB4A2B">
      <w:pPr>
        <w:pStyle w:val="53"/>
        <w:spacing w:line="480" w:lineRule="auto"/>
        <w:ind w:left="420" w:hanging="420" w:hangingChars="200"/>
        <w:rPr>
          <w:sz w:val="21"/>
          <w:szCs w:val="21"/>
        </w:rPr>
      </w:pPr>
      <w:bookmarkStart w:id="61" w:name="_ENREF_32"/>
      <w:r>
        <w:rPr>
          <w:rFonts w:hint="eastAsia"/>
          <w:sz w:val="21"/>
          <w:szCs w:val="21"/>
        </w:rPr>
        <w:t xml:space="preserve">Meng, W., Wang, Y. &amp; ZHang, G. (2025). Enhancing impact and mechanism of rural industrial integration on agricultural economic resilience：Research on the construction of national rural industrial integration demonstration parks. </w:t>
      </w:r>
      <w:r>
        <w:rPr>
          <w:rFonts w:hint="eastAsia"/>
          <w:i/>
          <w:sz w:val="21"/>
          <w:szCs w:val="21"/>
        </w:rPr>
        <w:t>Economic Review Journal</w:t>
      </w:r>
      <w:r>
        <w:rPr>
          <w:rFonts w:hint="eastAsia"/>
          <w:sz w:val="21"/>
          <w:szCs w:val="21"/>
        </w:rPr>
        <w:t>, (07), 76–89.</w:t>
      </w:r>
      <w:r>
        <w:rPr>
          <w:sz w:val="21"/>
          <w:szCs w:val="21"/>
        </w:rPr>
        <w:br w:type="textWrapping"/>
      </w:r>
      <w:r>
        <w:fldChar w:fldCharType="begin"/>
      </w:r>
      <w:r>
        <w:instrText xml:space="preserve"> HYPERLINK "https://doi.org/10.16528/j.cnki.22-1054/f.202507076" </w:instrText>
      </w:r>
      <w:r>
        <w:fldChar w:fldCharType="separate"/>
      </w:r>
      <w:r>
        <w:rPr>
          <w:rStyle w:val="23"/>
          <w:rFonts w:hint="eastAsia"/>
          <w:sz w:val="21"/>
          <w:szCs w:val="21"/>
        </w:rPr>
        <w:t>https://doi.org/10.16528/j.cnki.22-1054/f.202507076</w:t>
      </w:r>
      <w:bookmarkEnd w:id="61"/>
      <w:r>
        <w:rPr>
          <w:rStyle w:val="23"/>
          <w:rFonts w:hint="eastAsia"/>
          <w:sz w:val="21"/>
          <w:szCs w:val="21"/>
        </w:rPr>
        <w:fldChar w:fldCharType="end"/>
      </w:r>
    </w:p>
    <w:p w14:paraId="5BB124A6">
      <w:pPr>
        <w:pStyle w:val="53"/>
        <w:spacing w:line="480" w:lineRule="auto"/>
        <w:ind w:left="420" w:hanging="420" w:hangingChars="200"/>
        <w:rPr>
          <w:sz w:val="21"/>
          <w:szCs w:val="21"/>
        </w:rPr>
      </w:pPr>
      <w:bookmarkStart w:id="62" w:name="_ENREF_33"/>
      <w:r>
        <w:rPr>
          <w:rFonts w:hint="eastAsia"/>
          <w:sz w:val="21"/>
          <w:szCs w:val="21"/>
        </w:rPr>
        <w:t xml:space="preserve">Poumanyvong, P. &amp; Kaneko, S. (2010). Does urbanization lead to less energy use and lower CO2 emissions? A cross-country analysis. </w:t>
      </w:r>
      <w:r>
        <w:rPr>
          <w:rFonts w:hint="eastAsia"/>
          <w:i/>
          <w:sz w:val="21"/>
          <w:szCs w:val="21"/>
        </w:rPr>
        <w:t>Ecological Economics</w:t>
      </w:r>
      <w:r>
        <w:rPr>
          <w:rFonts w:hint="eastAsia"/>
          <w:sz w:val="21"/>
          <w:szCs w:val="21"/>
        </w:rPr>
        <w:t>, 70(2), 434–444.</w:t>
      </w:r>
      <w:r>
        <w:rPr>
          <w:sz w:val="21"/>
          <w:szCs w:val="21"/>
        </w:rPr>
        <w:br w:type="textWrapping"/>
      </w:r>
      <w:r>
        <w:fldChar w:fldCharType="begin"/>
      </w:r>
      <w:r>
        <w:instrText xml:space="preserve"> HYPERLINK "https://doi.org/10.1016/j.ecolecon.2010.09.029" </w:instrText>
      </w:r>
      <w:r>
        <w:fldChar w:fldCharType="separate"/>
      </w:r>
      <w:r>
        <w:rPr>
          <w:rStyle w:val="23"/>
          <w:rFonts w:hint="eastAsia"/>
          <w:sz w:val="21"/>
          <w:szCs w:val="21"/>
        </w:rPr>
        <w:t>https://doi.org/10.1016/j.ecolecon.2010.09.029</w:t>
      </w:r>
      <w:bookmarkEnd w:id="62"/>
      <w:r>
        <w:rPr>
          <w:rStyle w:val="23"/>
          <w:rFonts w:hint="eastAsia"/>
          <w:sz w:val="21"/>
          <w:szCs w:val="21"/>
        </w:rPr>
        <w:fldChar w:fldCharType="end"/>
      </w:r>
    </w:p>
    <w:p w14:paraId="44748483">
      <w:pPr>
        <w:pStyle w:val="53"/>
        <w:spacing w:line="480" w:lineRule="auto"/>
        <w:ind w:left="420" w:hanging="420" w:hangingChars="200"/>
        <w:rPr>
          <w:sz w:val="21"/>
          <w:szCs w:val="21"/>
        </w:rPr>
      </w:pPr>
      <w:bookmarkStart w:id="63" w:name="_ENREF_34"/>
      <w:r>
        <w:rPr>
          <w:sz w:val="21"/>
          <w:szCs w:val="21"/>
        </w:rPr>
        <w:t xml:space="preserve">Prăvălie, R., Patriche, C., Borrelli, P., Panagos, P., Roșca, B., Dumitraşcu, M., Nita, I.-A., Săvulescu, I., Birsan, M.-V. </w:t>
      </w:r>
      <w:r>
        <w:rPr>
          <w:rFonts w:hint="eastAsia"/>
          <w:sz w:val="21"/>
          <w:szCs w:val="21"/>
        </w:rPr>
        <w:t xml:space="preserve">&amp; Bandoc, G. (2021). Arable lands under the pressure of multiple land degradation processes. A global perspective. </w:t>
      </w:r>
      <w:r>
        <w:rPr>
          <w:rFonts w:hint="eastAsia"/>
          <w:i/>
          <w:sz w:val="21"/>
          <w:szCs w:val="21"/>
        </w:rPr>
        <w:t>Environmental Research</w:t>
      </w:r>
      <w:r>
        <w:rPr>
          <w:rFonts w:hint="eastAsia"/>
          <w:sz w:val="21"/>
          <w:szCs w:val="21"/>
        </w:rPr>
        <w:t>, 194, 110697.</w:t>
      </w:r>
      <w:r>
        <w:rPr>
          <w:sz w:val="21"/>
          <w:szCs w:val="21"/>
        </w:rPr>
        <w:br w:type="textWrapping"/>
      </w:r>
      <w:r>
        <w:fldChar w:fldCharType="begin"/>
      </w:r>
      <w:r>
        <w:instrText xml:space="preserve"> HYPERLINK "https://doi.org/10.1016/j.envres.2020.110697" </w:instrText>
      </w:r>
      <w:r>
        <w:fldChar w:fldCharType="separate"/>
      </w:r>
      <w:r>
        <w:rPr>
          <w:rStyle w:val="23"/>
          <w:rFonts w:hint="eastAsia"/>
          <w:sz w:val="21"/>
          <w:szCs w:val="21"/>
        </w:rPr>
        <w:t>https://doi.org/10.1016/j.envres.2020.110697</w:t>
      </w:r>
      <w:bookmarkEnd w:id="63"/>
      <w:r>
        <w:rPr>
          <w:rStyle w:val="23"/>
          <w:rFonts w:hint="eastAsia"/>
          <w:sz w:val="21"/>
          <w:szCs w:val="21"/>
        </w:rPr>
        <w:fldChar w:fldCharType="end"/>
      </w:r>
    </w:p>
    <w:p w14:paraId="2D928D15">
      <w:pPr>
        <w:pStyle w:val="53"/>
        <w:spacing w:line="480" w:lineRule="auto"/>
        <w:ind w:left="420" w:hanging="420" w:hangingChars="200"/>
        <w:rPr>
          <w:sz w:val="21"/>
          <w:szCs w:val="21"/>
        </w:rPr>
      </w:pPr>
      <w:bookmarkStart w:id="64" w:name="_ENREF_35"/>
      <w:r>
        <w:rPr>
          <w:rFonts w:hint="eastAsia"/>
          <w:sz w:val="21"/>
          <w:szCs w:val="21"/>
        </w:rPr>
        <w:t xml:space="preserve">Qian, H., Du, P., Xu, L. &amp; Yu, S. (2025). Can the involvement of firms in rural revitalization advance the area’s agricultural and rural modernization level? </w:t>
      </w:r>
      <w:r>
        <w:rPr>
          <w:rFonts w:hint="eastAsia"/>
          <w:i/>
          <w:sz w:val="21"/>
          <w:szCs w:val="21"/>
        </w:rPr>
        <w:t>Finance Research Letters</w:t>
      </w:r>
      <w:r>
        <w:rPr>
          <w:rFonts w:hint="eastAsia"/>
          <w:sz w:val="21"/>
          <w:szCs w:val="21"/>
        </w:rPr>
        <w:t>, e108280.</w:t>
      </w:r>
      <w:r>
        <w:fldChar w:fldCharType="begin"/>
      </w:r>
      <w:r>
        <w:instrText xml:space="preserve"> HYPERLINK "https://doi.org/10.1016/j.frl.2025.108280" </w:instrText>
      </w:r>
      <w:r>
        <w:fldChar w:fldCharType="separate"/>
      </w:r>
      <w:r>
        <w:rPr>
          <w:rStyle w:val="23"/>
          <w:rFonts w:hint="eastAsia"/>
          <w:sz w:val="21"/>
          <w:szCs w:val="21"/>
        </w:rPr>
        <w:t>https://doi.org/10.1016/j.frl.2025.108280</w:t>
      </w:r>
      <w:bookmarkEnd w:id="64"/>
      <w:r>
        <w:rPr>
          <w:rStyle w:val="23"/>
          <w:rFonts w:hint="eastAsia"/>
          <w:sz w:val="21"/>
          <w:szCs w:val="21"/>
        </w:rPr>
        <w:fldChar w:fldCharType="end"/>
      </w:r>
    </w:p>
    <w:p w14:paraId="403D6BBD">
      <w:pPr>
        <w:pStyle w:val="53"/>
        <w:spacing w:line="480" w:lineRule="auto"/>
        <w:ind w:left="420" w:hanging="420" w:hangingChars="200"/>
        <w:rPr>
          <w:sz w:val="21"/>
          <w:szCs w:val="21"/>
        </w:rPr>
      </w:pPr>
      <w:bookmarkStart w:id="65" w:name="_ENREF_37"/>
      <w:r>
        <w:rPr>
          <w:rFonts w:hint="eastAsia"/>
          <w:sz w:val="21"/>
          <w:szCs w:val="21"/>
        </w:rPr>
        <w:t xml:space="preserve">Quandt, A. (2023). “You have to be resilient”: Producer perspectives to navigating a changing agricultural system in California, USA. </w:t>
      </w:r>
      <w:r>
        <w:rPr>
          <w:rFonts w:hint="eastAsia"/>
          <w:i/>
          <w:sz w:val="21"/>
          <w:szCs w:val="21"/>
        </w:rPr>
        <w:t>Agricultural Systems</w:t>
      </w:r>
      <w:r>
        <w:rPr>
          <w:rFonts w:hint="eastAsia"/>
          <w:sz w:val="21"/>
          <w:szCs w:val="21"/>
        </w:rPr>
        <w:t>, 207, 103630.</w:t>
      </w:r>
      <w:r>
        <w:rPr>
          <w:sz w:val="21"/>
          <w:szCs w:val="21"/>
        </w:rPr>
        <w:br w:type="textWrapping"/>
      </w:r>
      <w:r>
        <w:fldChar w:fldCharType="begin"/>
      </w:r>
      <w:r>
        <w:instrText xml:space="preserve"> HYPERLINK "https://doi.org/10.1016/j.agsy.2023.103630" </w:instrText>
      </w:r>
      <w:r>
        <w:fldChar w:fldCharType="separate"/>
      </w:r>
      <w:r>
        <w:rPr>
          <w:rStyle w:val="23"/>
          <w:rFonts w:hint="eastAsia"/>
          <w:sz w:val="21"/>
          <w:szCs w:val="21"/>
        </w:rPr>
        <w:t>https://doi.org/10.1016/j.agsy.2023.103630</w:t>
      </w:r>
      <w:bookmarkEnd w:id="65"/>
      <w:r>
        <w:rPr>
          <w:rStyle w:val="23"/>
          <w:rFonts w:hint="eastAsia"/>
          <w:sz w:val="21"/>
          <w:szCs w:val="21"/>
        </w:rPr>
        <w:fldChar w:fldCharType="end"/>
      </w:r>
    </w:p>
    <w:p w14:paraId="10C7CD65">
      <w:pPr>
        <w:pStyle w:val="53"/>
        <w:spacing w:line="480" w:lineRule="auto"/>
        <w:ind w:left="420" w:hanging="420" w:hangingChars="200"/>
        <w:rPr>
          <w:sz w:val="21"/>
          <w:szCs w:val="21"/>
        </w:rPr>
      </w:pPr>
      <w:bookmarkStart w:id="66" w:name="_ENREF_38"/>
      <w:r>
        <w:rPr>
          <w:rFonts w:hint="eastAsia"/>
          <w:sz w:val="21"/>
          <w:szCs w:val="21"/>
        </w:rPr>
        <w:t xml:space="preserve">Rehman, A., Batool, Z., Ma, H., Alvarado, R. &amp; Oláh, J. (2024). Climate change and food security in South Asia: the importance of renewable energy and agricultural credit. </w:t>
      </w:r>
      <w:r>
        <w:rPr>
          <w:rFonts w:hint="eastAsia"/>
          <w:i/>
          <w:sz w:val="21"/>
          <w:szCs w:val="21"/>
        </w:rPr>
        <w:t>Humanities and Social Sciences Communications</w:t>
      </w:r>
      <w:r>
        <w:rPr>
          <w:rFonts w:hint="eastAsia"/>
          <w:sz w:val="21"/>
          <w:szCs w:val="21"/>
        </w:rPr>
        <w:t xml:space="preserve">, 11(1). </w:t>
      </w:r>
      <w:r>
        <w:fldChar w:fldCharType="begin"/>
      </w:r>
      <w:r>
        <w:instrText xml:space="preserve"> HYPERLINK "https://doi.org/10.1057/s41599-024-02847-3" </w:instrText>
      </w:r>
      <w:r>
        <w:fldChar w:fldCharType="separate"/>
      </w:r>
      <w:r>
        <w:rPr>
          <w:rStyle w:val="23"/>
          <w:rFonts w:hint="eastAsia"/>
          <w:sz w:val="21"/>
          <w:szCs w:val="21"/>
        </w:rPr>
        <w:t>https://doi.org/10.1057/s41599-024-02847-3</w:t>
      </w:r>
      <w:bookmarkEnd w:id="66"/>
      <w:r>
        <w:rPr>
          <w:rStyle w:val="23"/>
          <w:rFonts w:hint="eastAsia"/>
          <w:sz w:val="21"/>
          <w:szCs w:val="21"/>
        </w:rPr>
        <w:fldChar w:fldCharType="end"/>
      </w:r>
    </w:p>
    <w:p w14:paraId="77CA3CD9">
      <w:pPr>
        <w:pStyle w:val="53"/>
        <w:spacing w:line="480" w:lineRule="auto"/>
        <w:ind w:left="420" w:hanging="420" w:hangingChars="200"/>
        <w:rPr>
          <w:rFonts w:hint="eastAsia" w:eastAsia="等线"/>
          <w:sz w:val="21"/>
          <w:szCs w:val="21"/>
          <w:lang w:val="en-US" w:eastAsia="zh-CN"/>
        </w:rPr>
      </w:pPr>
      <w:bookmarkStart w:id="67" w:name="_ENREF_40"/>
      <w:r>
        <w:rPr>
          <w:rFonts w:hint="eastAsia"/>
          <w:sz w:val="21"/>
          <w:szCs w:val="21"/>
        </w:rPr>
        <w:t>Shi, C., &amp; Xu, N. (2026). Technology innovation and agricultural economic resilience: transmission mechanisms and spatial spillover effects.</w:t>
      </w:r>
      <w:r>
        <w:rPr>
          <w:rFonts w:hint="eastAsia"/>
          <w:sz w:val="21"/>
          <w:szCs w:val="21"/>
          <w:lang w:val="en-US" w:eastAsia="zh-CN"/>
        </w:rPr>
        <w:t xml:space="preserve"> </w:t>
      </w:r>
      <w:r>
        <w:rPr>
          <w:rFonts w:hint="default"/>
          <w:i/>
          <w:sz w:val="21"/>
          <w:szCs w:val="21"/>
        </w:rPr>
        <w:t>Agricultural and Food Economics</w:t>
      </w:r>
      <w:r>
        <w:rPr>
          <w:rFonts w:hint="default"/>
          <w:sz w:val="21"/>
          <w:szCs w:val="21"/>
        </w:rPr>
        <w:t>, 14(1), 52.</w:t>
      </w:r>
      <w:r>
        <w:fldChar w:fldCharType="begin"/>
      </w:r>
      <w:r>
        <w:instrText xml:space="preserve"> HYPERLINK "https://doi.org/10.1016/j.techfore.2024.123845" </w:instrText>
      </w:r>
      <w:r>
        <w:fldChar w:fldCharType="separate"/>
      </w:r>
      <w:r>
        <w:rPr>
          <w:rStyle w:val="23"/>
          <w:rFonts w:hint="eastAsia"/>
          <w:sz w:val="21"/>
          <w:szCs w:val="21"/>
        </w:rPr>
        <w:t>https://doi.org/10.1</w:t>
      </w:r>
      <w:r>
        <w:rPr>
          <w:rStyle w:val="23"/>
          <w:rFonts w:hint="eastAsia"/>
          <w:sz w:val="21"/>
          <w:szCs w:val="21"/>
          <w:lang w:val="en-US" w:eastAsia="zh-CN"/>
        </w:rPr>
        <w:t>18</w:t>
      </w:r>
      <w:r>
        <w:rPr>
          <w:rStyle w:val="23"/>
          <w:rFonts w:hint="eastAsia"/>
          <w:sz w:val="21"/>
          <w:szCs w:val="21"/>
        </w:rPr>
        <w:t>6/</w:t>
      </w:r>
      <w:r>
        <w:rPr>
          <w:rStyle w:val="23"/>
          <w:rFonts w:hint="eastAsia"/>
          <w:sz w:val="21"/>
          <w:szCs w:val="21"/>
          <w:lang w:val="en-US" w:eastAsia="zh-CN"/>
        </w:rPr>
        <w:t>s40100-026-00495-6</w:t>
      </w:r>
      <w:r>
        <w:rPr>
          <w:rStyle w:val="23"/>
          <w:rFonts w:hint="eastAsia"/>
          <w:sz w:val="21"/>
          <w:szCs w:val="21"/>
        </w:rPr>
        <w:fldChar w:fldCharType="end"/>
      </w:r>
    </w:p>
    <w:p w14:paraId="42C5142E">
      <w:pPr>
        <w:pStyle w:val="53"/>
        <w:spacing w:line="480" w:lineRule="auto"/>
        <w:ind w:left="420" w:hanging="420" w:hangingChars="200"/>
        <w:rPr>
          <w:sz w:val="21"/>
          <w:szCs w:val="21"/>
        </w:rPr>
      </w:pPr>
      <w:r>
        <w:rPr>
          <w:rFonts w:hint="eastAsia"/>
          <w:sz w:val="21"/>
          <w:szCs w:val="21"/>
        </w:rPr>
        <w:t xml:space="preserve">Simmie, J. &amp; Martin, R. (2010). The economic resilience of regions: towards an evolutionary approach. </w:t>
      </w:r>
      <w:r>
        <w:rPr>
          <w:rFonts w:hint="eastAsia"/>
          <w:i/>
          <w:sz w:val="21"/>
          <w:szCs w:val="21"/>
        </w:rPr>
        <w:t>Cambridge Journal of Regions, Economy and Society</w:t>
      </w:r>
      <w:r>
        <w:rPr>
          <w:rFonts w:hint="eastAsia"/>
          <w:sz w:val="21"/>
          <w:szCs w:val="21"/>
        </w:rPr>
        <w:t>, 3(1), 27–43.</w:t>
      </w:r>
      <w:r>
        <w:rPr>
          <w:sz w:val="21"/>
          <w:szCs w:val="21"/>
        </w:rPr>
        <w:br w:type="textWrapping"/>
      </w:r>
      <w:r>
        <w:fldChar w:fldCharType="begin"/>
      </w:r>
      <w:r>
        <w:instrText xml:space="preserve"> HYPERLINK "https://doi.org/10.1093/cjres/rsp029" </w:instrText>
      </w:r>
      <w:r>
        <w:fldChar w:fldCharType="separate"/>
      </w:r>
      <w:r>
        <w:rPr>
          <w:rStyle w:val="23"/>
          <w:rFonts w:hint="eastAsia"/>
          <w:sz w:val="21"/>
          <w:szCs w:val="21"/>
        </w:rPr>
        <w:t>https://doi.org/10.1093/cjres/rsp029</w:t>
      </w:r>
      <w:bookmarkEnd w:id="67"/>
      <w:r>
        <w:rPr>
          <w:rStyle w:val="23"/>
          <w:rFonts w:hint="eastAsia"/>
          <w:sz w:val="21"/>
          <w:szCs w:val="21"/>
        </w:rPr>
        <w:fldChar w:fldCharType="end"/>
      </w:r>
    </w:p>
    <w:p w14:paraId="0EDC68EA">
      <w:pPr>
        <w:pStyle w:val="53"/>
        <w:spacing w:line="480" w:lineRule="auto"/>
        <w:ind w:left="420" w:hanging="420" w:hangingChars="200"/>
        <w:rPr>
          <w:sz w:val="21"/>
          <w:szCs w:val="21"/>
        </w:rPr>
      </w:pPr>
      <w:bookmarkStart w:id="68" w:name="_ENREF_41"/>
      <w:r>
        <w:rPr>
          <w:rFonts w:hint="eastAsia"/>
          <w:sz w:val="21"/>
          <w:szCs w:val="21"/>
        </w:rPr>
        <w:t xml:space="preserve">Singh, N., Kumar, A. &amp; Dey, K. (2023). Unlocking the potential of knowledge economy for rural resilience: The role of digital platforms. </w:t>
      </w:r>
      <w:r>
        <w:rPr>
          <w:rFonts w:hint="eastAsia"/>
          <w:i/>
          <w:sz w:val="21"/>
          <w:szCs w:val="21"/>
        </w:rPr>
        <w:t>Journal of Rural Studies</w:t>
      </w:r>
      <w:r>
        <w:rPr>
          <w:rFonts w:hint="eastAsia"/>
          <w:sz w:val="21"/>
          <w:szCs w:val="21"/>
        </w:rPr>
        <w:t>, 104, 103164.</w:t>
      </w:r>
      <w:r>
        <w:rPr>
          <w:sz w:val="21"/>
          <w:szCs w:val="21"/>
        </w:rPr>
        <w:br w:type="textWrapping"/>
      </w:r>
      <w:r>
        <w:fldChar w:fldCharType="begin"/>
      </w:r>
      <w:r>
        <w:instrText xml:space="preserve"> HYPERLINK "https://doi.org/10.1016/j.jrurstud.2023.103164" </w:instrText>
      </w:r>
      <w:r>
        <w:fldChar w:fldCharType="separate"/>
      </w:r>
      <w:r>
        <w:rPr>
          <w:rStyle w:val="23"/>
          <w:rFonts w:hint="eastAsia"/>
          <w:sz w:val="21"/>
          <w:szCs w:val="21"/>
        </w:rPr>
        <w:t>https://doi.org/10.1016/j.jrurstud.2023.103164</w:t>
      </w:r>
      <w:bookmarkEnd w:id="68"/>
      <w:r>
        <w:rPr>
          <w:rStyle w:val="23"/>
          <w:rFonts w:hint="eastAsia"/>
          <w:sz w:val="21"/>
          <w:szCs w:val="21"/>
        </w:rPr>
        <w:fldChar w:fldCharType="end"/>
      </w:r>
    </w:p>
    <w:p w14:paraId="6FB514D1">
      <w:pPr>
        <w:pStyle w:val="53"/>
        <w:spacing w:line="480" w:lineRule="auto"/>
        <w:ind w:left="420" w:hanging="420" w:hangingChars="200"/>
        <w:rPr>
          <w:sz w:val="21"/>
          <w:szCs w:val="21"/>
        </w:rPr>
      </w:pPr>
      <w:bookmarkStart w:id="69" w:name="_ENREF_42"/>
      <w:r>
        <w:rPr>
          <w:rFonts w:hint="eastAsia"/>
          <w:sz w:val="21"/>
          <w:szCs w:val="21"/>
        </w:rPr>
        <w:t xml:space="preserve">Sun, D., Zhou, L., Li, Y., Liu, H., Shen, X., Wang, Z. &amp; Wang, X. (2017). New-type urbanization in China: Predicted trends and investment demand for 2015–2030. </w:t>
      </w:r>
      <w:r>
        <w:rPr>
          <w:rFonts w:hint="eastAsia"/>
          <w:i/>
          <w:sz w:val="21"/>
          <w:szCs w:val="21"/>
        </w:rPr>
        <w:t>Journal of Geographical Sciences</w:t>
      </w:r>
      <w:r>
        <w:rPr>
          <w:rFonts w:hint="eastAsia"/>
          <w:sz w:val="21"/>
          <w:szCs w:val="21"/>
        </w:rPr>
        <w:t xml:space="preserve">, 27(8), 943–966. </w:t>
      </w:r>
      <w:r>
        <w:fldChar w:fldCharType="begin"/>
      </w:r>
      <w:r>
        <w:instrText xml:space="preserve"> HYPERLINK "https://doi.org/10.1007/s11442-017-1414-4" </w:instrText>
      </w:r>
      <w:r>
        <w:fldChar w:fldCharType="separate"/>
      </w:r>
      <w:r>
        <w:rPr>
          <w:rStyle w:val="23"/>
          <w:rFonts w:hint="eastAsia"/>
          <w:sz w:val="21"/>
          <w:szCs w:val="21"/>
        </w:rPr>
        <w:t>https://doi.org/10.1007/s11442-017-1414-4</w:t>
      </w:r>
      <w:bookmarkEnd w:id="69"/>
      <w:r>
        <w:rPr>
          <w:rStyle w:val="23"/>
          <w:rFonts w:hint="eastAsia"/>
          <w:sz w:val="21"/>
          <w:szCs w:val="21"/>
        </w:rPr>
        <w:fldChar w:fldCharType="end"/>
      </w:r>
    </w:p>
    <w:p w14:paraId="214B6573">
      <w:pPr>
        <w:pStyle w:val="53"/>
        <w:spacing w:line="480" w:lineRule="auto"/>
        <w:ind w:left="420" w:hanging="420" w:hangingChars="200"/>
        <w:rPr>
          <w:sz w:val="21"/>
          <w:szCs w:val="21"/>
        </w:rPr>
      </w:pPr>
      <w:bookmarkStart w:id="70" w:name="_ENREF_43"/>
      <w:r>
        <w:rPr>
          <w:rFonts w:hint="eastAsia"/>
          <w:sz w:val="21"/>
          <w:szCs w:val="21"/>
        </w:rPr>
        <w:t xml:space="preserve">Tang, W. &amp; Zhu, J. (2020). Informality and rural industry: Rethinking the impacts of E-Commerce on rural development in China. </w:t>
      </w:r>
      <w:r>
        <w:rPr>
          <w:rFonts w:hint="eastAsia"/>
          <w:i/>
          <w:sz w:val="21"/>
          <w:szCs w:val="21"/>
        </w:rPr>
        <w:t>Journal of Rural Studies</w:t>
      </w:r>
      <w:r>
        <w:rPr>
          <w:rFonts w:hint="eastAsia"/>
          <w:sz w:val="21"/>
          <w:szCs w:val="21"/>
        </w:rPr>
        <w:t>, 75, 20–29.</w:t>
      </w:r>
      <w:r>
        <w:rPr>
          <w:sz w:val="21"/>
          <w:szCs w:val="21"/>
        </w:rPr>
        <w:br w:type="textWrapping"/>
      </w:r>
      <w:r>
        <w:fldChar w:fldCharType="begin"/>
      </w:r>
      <w:r>
        <w:instrText xml:space="preserve"> HYPERLINK "https://doi.org/10.1016/j.jrurstud.2020.02.010" </w:instrText>
      </w:r>
      <w:r>
        <w:fldChar w:fldCharType="separate"/>
      </w:r>
      <w:r>
        <w:rPr>
          <w:rStyle w:val="23"/>
          <w:rFonts w:hint="eastAsia"/>
          <w:sz w:val="21"/>
          <w:szCs w:val="21"/>
        </w:rPr>
        <w:t>https://doi.org/10.1016/j.jrurstud.2020.02.010</w:t>
      </w:r>
      <w:bookmarkEnd w:id="70"/>
      <w:r>
        <w:rPr>
          <w:rStyle w:val="23"/>
          <w:rFonts w:hint="eastAsia"/>
          <w:sz w:val="21"/>
          <w:szCs w:val="21"/>
        </w:rPr>
        <w:fldChar w:fldCharType="end"/>
      </w:r>
    </w:p>
    <w:p w14:paraId="1EE9D385">
      <w:pPr>
        <w:pStyle w:val="53"/>
        <w:spacing w:line="480" w:lineRule="auto"/>
        <w:ind w:left="420" w:hanging="420" w:hangingChars="200"/>
        <w:rPr>
          <w:sz w:val="21"/>
          <w:szCs w:val="21"/>
        </w:rPr>
      </w:pPr>
      <w:bookmarkStart w:id="71" w:name="_ENREF_44"/>
      <w:r>
        <w:rPr>
          <w:rFonts w:hint="eastAsia"/>
          <w:sz w:val="21"/>
          <w:szCs w:val="21"/>
        </w:rPr>
        <w:t xml:space="preserve">Urom, C., Guesmi, K., Abid, I. &amp; Enwo-Irem, I. N. (2022). Co-inventions, uncertainties and global food security. </w:t>
      </w:r>
      <w:r>
        <w:rPr>
          <w:rFonts w:hint="eastAsia"/>
          <w:i/>
          <w:sz w:val="21"/>
          <w:szCs w:val="21"/>
        </w:rPr>
        <w:t>Environmental Economics and Policy Studies</w:t>
      </w:r>
      <w:r>
        <w:rPr>
          <w:rFonts w:hint="eastAsia"/>
          <w:sz w:val="21"/>
          <w:szCs w:val="21"/>
        </w:rPr>
        <w:t>, e1–26.</w:t>
      </w:r>
      <w:r>
        <w:rPr>
          <w:sz w:val="21"/>
          <w:szCs w:val="21"/>
        </w:rPr>
        <w:br w:type="textWrapping"/>
      </w:r>
      <w:r>
        <w:fldChar w:fldCharType="begin"/>
      </w:r>
      <w:r>
        <w:instrText xml:space="preserve"> HYPERLINK "https://doi.org/10.1007/s10018-022-00347-9" </w:instrText>
      </w:r>
      <w:r>
        <w:fldChar w:fldCharType="separate"/>
      </w:r>
      <w:r>
        <w:rPr>
          <w:rStyle w:val="23"/>
          <w:rFonts w:hint="eastAsia"/>
          <w:sz w:val="21"/>
          <w:szCs w:val="21"/>
        </w:rPr>
        <w:t>https://doi.org/10.1007/s10018-022-00347-9</w:t>
      </w:r>
      <w:bookmarkEnd w:id="71"/>
      <w:r>
        <w:rPr>
          <w:rStyle w:val="23"/>
          <w:rFonts w:hint="eastAsia"/>
          <w:sz w:val="21"/>
          <w:szCs w:val="21"/>
        </w:rPr>
        <w:fldChar w:fldCharType="end"/>
      </w:r>
    </w:p>
    <w:p w14:paraId="218002F7">
      <w:pPr>
        <w:pStyle w:val="53"/>
        <w:spacing w:line="480" w:lineRule="auto"/>
        <w:ind w:left="420" w:hanging="420" w:hangingChars="200"/>
        <w:rPr>
          <w:sz w:val="21"/>
          <w:szCs w:val="21"/>
        </w:rPr>
      </w:pPr>
      <w:bookmarkStart w:id="72" w:name="_ENREF_45"/>
      <w:r>
        <w:rPr>
          <w:rFonts w:hint="eastAsia"/>
          <w:sz w:val="21"/>
          <w:szCs w:val="21"/>
        </w:rPr>
        <w:t xml:space="preserve">Urruty, N., Tailliez-Lefebvre, D. &amp; Huyghe, C. (2016). Stability, robustness, vulnerability and resilience of agricultural systems. A review. </w:t>
      </w:r>
      <w:r>
        <w:rPr>
          <w:rFonts w:hint="eastAsia"/>
          <w:i/>
          <w:sz w:val="21"/>
          <w:szCs w:val="21"/>
        </w:rPr>
        <w:t>Agronomy for Sustainable Development</w:t>
      </w:r>
      <w:r>
        <w:rPr>
          <w:rFonts w:hint="eastAsia"/>
          <w:sz w:val="21"/>
          <w:szCs w:val="21"/>
        </w:rPr>
        <w:t xml:space="preserve">, 36(1), 1–15. </w:t>
      </w:r>
      <w:r>
        <w:fldChar w:fldCharType="begin"/>
      </w:r>
      <w:r>
        <w:instrText xml:space="preserve"> HYPERLINK "https://doi.org/10.1007/s13593-015-0347-5" </w:instrText>
      </w:r>
      <w:r>
        <w:fldChar w:fldCharType="separate"/>
      </w:r>
      <w:r>
        <w:rPr>
          <w:rStyle w:val="23"/>
          <w:rFonts w:hint="eastAsia"/>
          <w:sz w:val="21"/>
          <w:szCs w:val="21"/>
        </w:rPr>
        <w:t>https://doi.org/10.1007/s13593-015-0347-5</w:t>
      </w:r>
      <w:bookmarkEnd w:id="72"/>
      <w:r>
        <w:rPr>
          <w:rStyle w:val="23"/>
          <w:rFonts w:hint="eastAsia"/>
          <w:sz w:val="21"/>
          <w:szCs w:val="21"/>
        </w:rPr>
        <w:fldChar w:fldCharType="end"/>
      </w:r>
    </w:p>
    <w:p w14:paraId="73396428">
      <w:pPr>
        <w:pStyle w:val="53"/>
        <w:spacing w:line="480" w:lineRule="auto"/>
        <w:ind w:left="420" w:hanging="420" w:hangingChars="200"/>
        <w:rPr>
          <w:sz w:val="21"/>
          <w:szCs w:val="21"/>
        </w:rPr>
      </w:pPr>
      <w:bookmarkStart w:id="73" w:name="_ENREF_46"/>
      <w:r>
        <w:rPr>
          <w:rFonts w:hint="eastAsia"/>
          <w:sz w:val="21"/>
          <w:szCs w:val="21"/>
        </w:rPr>
        <w:t xml:space="preserve">Wang, K., Ma, H. &amp; Fang, C. (2023). The relationship evolution between urbanization and urban ecological resilience in the Northern Slope Economic Belt of Tianshan Mountains, China. </w:t>
      </w:r>
      <w:r>
        <w:rPr>
          <w:rFonts w:hint="eastAsia"/>
          <w:i/>
          <w:sz w:val="21"/>
          <w:szCs w:val="21"/>
        </w:rPr>
        <w:t>Sustainable Cities and Society</w:t>
      </w:r>
      <w:r>
        <w:rPr>
          <w:rFonts w:hint="eastAsia"/>
          <w:sz w:val="21"/>
          <w:szCs w:val="21"/>
        </w:rPr>
        <w:t xml:space="preserve">, 97, 104783. </w:t>
      </w:r>
      <w:r>
        <w:fldChar w:fldCharType="begin"/>
      </w:r>
      <w:r>
        <w:instrText xml:space="preserve"> HYPERLINK "https://doi.org/10.1016/j.scs.2023.104783" </w:instrText>
      </w:r>
      <w:r>
        <w:fldChar w:fldCharType="separate"/>
      </w:r>
      <w:r>
        <w:rPr>
          <w:rStyle w:val="23"/>
          <w:rFonts w:hint="eastAsia"/>
          <w:sz w:val="21"/>
          <w:szCs w:val="21"/>
        </w:rPr>
        <w:t>https://doi.org/10.1016/j.scs.2023.104783</w:t>
      </w:r>
      <w:bookmarkEnd w:id="73"/>
      <w:r>
        <w:rPr>
          <w:rStyle w:val="23"/>
          <w:rFonts w:hint="eastAsia"/>
          <w:sz w:val="21"/>
          <w:szCs w:val="21"/>
        </w:rPr>
        <w:fldChar w:fldCharType="end"/>
      </w:r>
    </w:p>
    <w:p w14:paraId="364AA099">
      <w:pPr>
        <w:pStyle w:val="53"/>
        <w:spacing w:line="480" w:lineRule="auto"/>
        <w:ind w:left="420" w:hanging="420" w:hangingChars="200"/>
        <w:rPr>
          <w:sz w:val="21"/>
          <w:szCs w:val="21"/>
        </w:rPr>
      </w:pPr>
      <w:bookmarkStart w:id="74" w:name="_ENREF_47"/>
      <w:r>
        <w:rPr>
          <w:rFonts w:hint="eastAsia"/>
          <w:sz w:val="21"/>
          <w:szCs w:val="21"/>
        </w:rPr>
        <w:t xml:space="preserve">Wang, S., Bai, X., Zhang, X., Reis, S., Chen, D., Xu, J. &amp; Gu, B. (2021). Urbanization can benefit agricultural production with large-scale farming in China. </w:t>
      </w:r>
      <w:r>
        <w:rPr>
          <w:rFonts w:hint="eastAsia"/>
          <w:i/>
          <w:sz w:val="21"/>
          <w:szCs w:val="21"/>
        </w:rPr>
        <w:t>Nature Food</w:t>
      </w:r>
      <w:r>
        <w:rPr>
          <w:rFonts w:hint="eastAsia"/>
          <w:sz w:val="21"/>
          <w:szCs w:val="21"/>
        </w:rPr>
        <w:t xml:space="preserve">, 2(3), 183–191. </w:t>
      </w:r>
      <w:r>
        <w:fldChar w:fldCharType="begin"/>
      </w:r>
      <w:r>
        <w:instrText xml:space="preserve"> HYPERLINK "https://doi.org/10.1038/s43016-021-00228-6" </w:instrText>
      </w:r>
      <w:r>
        <w:fldChar w:fldCharType="separate"/>
      </w:r>
      <w:r>
        <w:rPr>
          <w:rStyle w:val="23"/>
          <w:rFonts w:hint="eastAsia"/>
          <w:sz w:val="21"/>
          <w:szCs w:val="21"/>
        </w:rPr>
        <w:t>https://doi.org/10.1038/s43016-021-00228-6</w:t>
      </w:r>
      <w:bookmarkEnd w:id="74"/>
      <w:r>
        <w:rPr>
          <w:rStyle w:val="23"/>
          <w:rFonts w:hint="eastAsia"/>
          <w:sz w:val="21"/>
          <w:szCs w:val="21"/>
        </w:rPr>
        <w:fldChar w:fldCharType="end"/>
      </w:r>
    </w:p>
    <w:p w14:paraId="667BDC1B">
      <w:pPr>
        <w:pStyle w:val="53"/>
        <w:spacing w:line="480" w:lineRule="auto"/>
        <w:ind w:left="420" w:hanging="420" w:hangingChars="200"/>
        <w:rPr>
          <w:sz w:val="21"/>
          <w:szCs w:val="21"/>
        </w:rPr>
      </w:pPr>
      <w:bookmarkStart w:id="75" w:name="_ENREF_48"/>
      <w:r>
        <w:rPr>
          <w:rFonts w:hint="eastAsia"/>
          <w:sz w:val="21"/>
          <w:szCs w:val="21"/>
        </w:rPr>
        <w:t xml:space="preserve">Wang, X., Ma, J. &amp; Wang, D. (2025). Understanding the risks of peri-urbanization to food systems to help establish sustainable agriculture near cities. </w:t>
      </w:r>
      <w:r>
        <w:rPr>
          <w:rFonts w:hint="eastAsia"/>
          <w:i/>
          <w:sz w:val="21"/>
          <w:szCs w:val="21"/>
        </w:rPr>
        <w:t>Environmental Impact Assessment Review</w:t>
      </w:r>
      <w:r>
        <w:rPr>
          <w:rFonts w:hint="eastAsia"/>
          <w:sz w:val="21"/>
          <w:szCs w:val="21"/>
        </w:rPr>
        <w:t xml:space="preserve">, 112, 107777. </w:t>
      </w:r>
      <w:r>
        <w:fldChar w:fldCharType="begin"/>
      </w:r>
      <w:r>
        <w:instrText xml:space="preserve"> HYPERLINK "https://doi.org/10.1016/j.eiar.2024.107777" </w:instrText>
      </w:r>
      <w:r>
        <w:fldChar w:fldCharType="separate"/>
      </w:r>
      <w:r>
        <w:rPr>
          <w:rStyle w:val="23"/>
          <w:rFonts w:hint="eastAsia"/>
          <w:sz w:val="21"/>
          <w:szCs w:val="21"/>
        </w:rPr>
        <w:t>https://doi.org/10.1016/j.eiar.2024.107777</w:t>
      </w:r>
      <w:bookmarkEnd w:id="75"/>
      <w:r>
        <w:rPr>
          <w:rStyle w:val="23"/>
          <w:rFonts w:hint="eastAsia"/>
          <w:sz w:val="21"/>
          <w:szCs w:val="21"/>
        </w:rPr>
        <w:fldChar w:fldCharType="end"/>
      </w:r>
    </w:p>
    <w:p w14:paraId="2DAA38E0">
      <w:pPr>
        <w:pStyle w:val="53"/>
        <w:spacing w:line="480" w:lineRule="auto"/>
        <w:ind w:left="420" w:hanging="420" w:hangingChars="200"/>
        <w:rPr>
          <w:sz w:val="21"/>
          <w:szCs w:val="21"/>
        </w:rPr>
      </w:pPr>
      <w:bookmarkStart w:id="76" w:name="_ENREF_50"/>
      <w:r>
        <w:rPr>
          <w:rFonts w:hint="eastAsia"/>
          <w:sz w:val="21"/>
          <w:szCs w:val="21"/>
        </w:rPr>
        <w:t xml:space="preserve">Wittman, H. (2023). Food sovereignty: An inclusive model for feeding the world and cooling the planet. </w:t>
      </w:r>
      <w:r>
        <w:rPr>
          <w:rFonts w:hint="eastAsia"/>
          <w:i/>
          <w:sz w:val="21"/>
          <w:szCs w:val="21"/>
        </w:rPr>
        <w:t>One Earth</w:t>
      </w:r>
      <w:r>
        <w:rPr>
          <w:rFonts w:hint="eastAsia"/>
          <w:sz w:val="21"/>
          <w:szCs w:val="21"/>
        </w:rPr>
        <w:t xml:space="preserve">, 6(5), 474–478. </w:t>
      </w:r>
      <w:r>
        <w:fldChar w:fldCharType="begin"/>
      </w:r>
      <w:r>
        <w:instrText xml:space="preserve"> HYPERLINK "https://doi.org/10.1016/j.oneear.2023.04.011" </w:instrText>
      </w:r>
      <w:r>
        <w:fldChar w:fldCharType="separate"/>
      </w:r>
      <w:r>
        <w:rPr>
          <w:rStyle w:val="23"/>
          <w:rFonts w:hint="eastAsia"/>
          <w:sz w:val="21"/>
          <w:szCs w:val="21"/>
        </w:rPr>
        <w:t>https://doi.org/10.1016/j.oneear.2023.04.011</w:t>
      </w:r>
      <w:bookmarkEnd w:id="76"/>
      <w:r>
        <w:rPr>
          <w:rStyle w:val="23"/>
          <w:rFonts w:hint="eastAsia"/>
          <w:sz w:val="21"/>
          <w:szCs w:val="21"/>
        </w:rPr>
        <w:fldChar w:fldCharType="end"/>
      </w:r>
    </w:p>
    <w:p w14:paraId="4C7DE017">
      <w:pPr>
        <w:pStyle w:val="53"/>
        <w:spacing w:line="480" w:lineRule="auto"/>
        <w:ind w:left="420" w:hanging="420" w:hangingChars="200"/>
        <w:rPr>
          <w:sz w:val="21"/>
          <w:szCs w:val="21"/>
        </w:rPr>
      </w:pPr>
      <w:bookmarkStart w:id="77" w:name="_ENREF_51"/>
      <w:r>
        <w:rPr>
          <w:rFonts w:hint="eastAsia"/>
          <w:sz w:val="21"/>
          <w:szCs w:val="21"/>
        </w:rPr>
        <w:t xml:space="preserve">Xiao, Y., Zhao, J., Zhang, Y. &amp; Wang, S. (2025). Grain Self-Sufficiency in Guangdong, China: Current Trends and Future Perspectives. </w:t>
      </w:r>
      <w:r>
        <w:rPr>
          <w:rFonts w:hint="eastAsia"/>
          <w:i/>
          <w:sz w:val="21"/>
          <w:szCs w:val="21"/>
        </w:rPr>
        <w:t>Foods</w:t>
      </w:r>
      <w:r>
        <w:rPr>
          <w:rFonts w:hint="eastAsia"/>
          <w:sz w:val="21"/>
          <w:szCs w:val="21"/>
        </w:rPr>
        <w:t>, 14(7), 1126.</w:t>
      </w:r>
      <w:r>
        <w:rPr>
          <w:sz w:val="21"/>
          <w:szCs w:val="21"/>
        </w:rPr>
        <w:br w:type="textWrapping"/>
      </w:r>
      <w:r>
        <w:fldChar w:fldCharType="begin"/>
      </w:r>
      <w:r>
        <w:instrText xml:space="preserve"> HYPERLINK "https://doi.org/10.3390/foods14071126" </w:instrText>
      </w:r>
      <w:r>
        <w:fldChar w:fldCharType="separate"/>
      </w:r>
      <w:r>
        <w:rPr>
          <w:rStyle w:val="23"/>
          <w:rFonts w:hint="eastAsia"/>
          <w:sz w:val="21"/>
          <w:szCs w:val="21"/>
        </w:rPr>
        <w:t>https://doi.org/10.3390/foods14071126</w:t>
      </w:r>
      <w:bookmarkEnd w:id="77"/>
      <w:r>
        <w:rPr>
          <w:rStyle w:val="23"/>
          <w:rFonts w:hint="eastAsia"/>
          <w:sz w:val="21"/>
          <w:szCs w:val="21"/>
        </w:rPr>
        <w:fldChar w:fldCharType="end"/>
      </w:r>
    </w:p>
    <w:p w14:paraId="1BB71A87">
      <w:pPr>
        <w:pStyle w:val="53"/>
        <w:spacing w:line="480" w:lineRule="auto"/>
        <w:ind w:left="420" w:hanging="420" w:hangingChars="200"/>
        <w:rPr>
          <w:sz w:val="21"/>
          <w:szCs w:val="21"/>
        </w:rPr>
      </w:pPr>
      <w:bookmarkStart w:id="78" w:name="_ENREF_53"/>
      <w:r>
        <w:rPr>
          <w:rFonts w:hint="eastAsia"/>
          <w:sz w:val="21"/>
          <w:szCs w:val="21"/>
        </w:rPr>
        <w:t xml:space="preserve">Xu, Y., Sun, Z. &amp; Li, S. (2022). Digital Inclusive Finance and Traditional Rural Finance: Substitution or Complementarity? From the Perspective of Relaxing Farmers’ Financing Constraints. </w:t>
      </w:r>
      <w:r>
        <w:rPr>
          <w:rFonts w:hint="eastAsia"/>
          <w:i/>
          <w:sz w:val="21"/>
          <w:szCs w:val="21"/>
        </w:rPr>
        <w:t>Journal of Finance and Economics</w:t>
      </w:r>
      <w:r>
        <w:rPr>
          <w:rFonts w:hint="eastAsia"/>
          <w:sz w:val="21"/>
          <w:szCs w:val="21"/>
        </w:rPr>
        <w:t>, 48(06), 34–48.</w:t>
      </w:r>
      <w:r>
        <w:rPr>
          <w:sz w:val="21"/>
          <w:szCs w:val="21"/>
        </w:rPr>
        <w:br w:type="textWrapping"/>
      </w:r>
      <w:r>
        <w:fldChar w:fldCharType="begin"/>
      </w:r>
      <w:r>
        <w:instrText xml:space="preserve"> HYPERLINK "https://doi.org/10.16538/j.cnki.jfe.20220113.203" </w:instrText>
      </w:r>
      <w:r>
        <w:fldChar w:fldCharType="separate"/>
      </w:r>
      <w:r>
        <w:rPr>
          <w:rStyle w:val="23"/>
          <w:rFonts w:hint="eastAsia"/>
          <w:sz w:val="21"/>
          <w:szCs w:val="21"/>
        </w:rPr>
        <w:t>https://doi.org/10.16538/j.cnki.jfe.20220113.203</w:t>
      </w:r>
      <w:bookmarkEnd w:id="78"/>
      <w:r>
        <w:rPr>
          <w:rStyle w:val="23"/>
          <w:rFonts w:hint="eastAsia"/>
          <w:sz w:val="21"/>
          <w:szCs w:val="21"/>
        </w:rPr>
        <w:fldChar w:fldCharType="end"/>
      </w:r>
    </w:p>
    <w:p w14:paraId="4EEA4DC2">
      <w:pPr>
        <w:pStyle w:val="53"/>
        <w:spacing w:line="480" w:lineRule="auto"/>
        <w:ind w:left="420" w:hanging="420" w:hangingChars="200"/>
        <w:rPr>
          <w:sz w:val="21"/>
          <w:szCs w:val="21"/>
        </w:rPr>
      </w:pPr>
      <w:bookmarkStart w:id="79" w:name="_ENREF_55"/>
      <w:r>
        <w:rPr>
          <w:rFonts w:hint="eastAsia"/>
          <w:sz w:val="21"/>
          <w:szCs w:val="21"/>
        </w:rPr>
        <w:t xml:space="preserve">Yang, Z., Li, Y. &amp; Wu, C. (2025). Population aging, fintech, and agricultural economic resilience. </w:t>
      </w:r>
      <w:r>
        <w:rPr>
          <w:rFonts w:hint="eastAsia"/>
          <w:i/>
          <w:sz w:val="21"/>
          <w:szCs w:val="21"/>
        </w:rPr>
        <w:t>International Review of Economics &amp; Finance</w:t>
      </w:r>
      <w:r>
        <w:rPr>
          <w:rFonts w:hint="eastAsia"/>
          <w:sz w:val="21"/>
          <w:szCs w:val="21"/>
        </w:rPr>
        <w:t>, 97, 103756.</w:t>
      </w:r>
      <w:r>
        <w:rPr>
          <w:sz w:val="21"/>
          <w:szCs w:val="21"/>
        </w:rPr>
        <w:br w:type="textWrapping"/>
      </w:r>
      <w:r>
        <w:fldChar w:fldCharType="begin"/>
      </w:r>
      <w:r>
        <w:instrText xml:space="preserve"> HYPERLINK "https://doi.org/10.1016/j.iref.2024.103756" </w:instrText>
      </w:r>
      <w:r>
        <w:fldChar w:fldCharType="separate"/>
      </w:r>
      <w:r>
        <w:rPr>
          <w:rStyle w:val="23"/>
          <w:rFonts w:hint="eastAsia"/>
          <w:sz w:val="21"/>
          <w:szCs w:val="21"/>
        </w:rPr>
        <w:t>https://doi.org/10.1016/j.iref.2024.103756</w:t>
      </w:r>
      <w:bookmarkEnd w:id="79"/>
      <w:r>
        <w:rPr>
          <w:rStyle w:val="23"/>
          <w:rFonts w:hint="eastAsia"/>
          <w:sz w:val="21"/>
          <w:szCs w:val="21"/>
        </w:rPr>
        <w:fldChar w:fldCharType="end"/>
      </w:r>
    </w:p>
    <w:p w14:paraId="2014FB6A">
      <w:pPr>
        <w:pStyle w:val="53"/>
        <w:spacing w:line="480" w:lineRule="auto"/>
        <w:ind w:left="420" w:hanging="420" w:hangingChars="200"/>
        <w:rPr>
          <w:sz w:val="21"/>
          <w:szCs w:val="21"/>
        </w:rPr>
      </w:pPr>
      <w:bookmarkStart w:id="80" w:name="_ENREF_56"/>
      <w:r>
        <w:rPr>
          <w:rFonts w:hint="eastAsia"/>
          <w:sz w:val="21"/>
          <w:szCs w:val="21"/>
        </w:rPr>
        <w:t xml:space="preserve">Zeng, R., Abate, M. C., Cai, B., Addis, A. K. &amp; Derebe Dereso, Y. (2025). A Systematic Review of Contemporary Challenges and Debates on Chinese Food Security: Integrating Priorities, Trade-Offs, and Policy Pathways. </w:t>
      </w:r>
      <w:r>
        <w:rPr>
          <w:rFonts w:hint="eastAsia"/>
          <w:i/>
          <w:sz w:val="21"/>
          <w:szCs w:val="21"/>
        </w:rPr>
        <w:t>Foods</w:t>
      </w:r>
      <w:r>
        <w:rPr>
          <w:rFonts w:hint="eastAsia"/>
          <w:sz w:val="21"/>
          <w:szCs w:val="21"/>
        </w:rPr>
        <w:t xml:space="preserve">, 14(6), 1057. </w:t>
      </w:r>
      <w:r>
        <w:fldChar w:fldCharType="begin"/>
      </w:r>
      <w:r>
        <w:instrText xml:space="preserve"> HYPERLINK "https://doi.org/10.3390/foods14061057" </w:instrText>
      </w:r>
      <w:r>
        <w:fldChar w:fldCharType="separate"/>
      </w:r>
      <w:r>
        <w:rPr>
          <w:rStyle w:val="23"/>
          <w:rFonts w:hint="eastAsia"/>
          <w:sz w:val="21"/>
          <w:szCs w:val="21"/>
        </w:rPr>
        <w:t>https://doi.org/10.3390/foods14061057</w:t>
      </w:r>
      <w:bookmarkEnd w:id="80"/>
      <w:r>
        <w:rPr>
          <w:rStyle w:val="23"/>
          <w:rFonts w:hint="eastAsia"/>
          <w:sz w:val="21"/>
          <w:szCs w:val="21"/>
        </w:rPr>
        <w:fldChar w:fldCharType="end"/>
      </w:r>
    </w:p>
    <w:p w14:paraId="7242417A">
      <w:pPr>
        <w:pStyle w:val="53"/>
        <w:spacing w:line="480" w:lineRule="auto"/>
        <w:ind w:left="420" w:hanging="420" w:hangingChars="200"/>
        <w:rPr>
          <w:sz w:val="21"/>
          <w:szCs w:val="21"/>
        </w:rPr>
      </w:pPr>
      <w:bookmarkStart w:id="81" w:name="_ENREF_57"/>
      <w:r>
        <w:rPr>
          <w:rFonts w:hint="eastAsia"/>
          <w:sz w:val="21"/>
          <w:szCs w:val="21"/>
        </w:rPr>
        <w:t xml:space="preserve">Zheng, Z., Zhu, Y., Pei, Y. &amp; Wang, L. (2023). Spatial–temporal heterogeneity and influencing factors of the coupling between industrial agglomeration and regional economic resilience in China. </w:t>
      </w:r>
      <w:r>
        <w:rPr>
          <w:rFonts w:hint="eastAsia"/>
          <w:i/>
          <w:sz w:val="21"/>
          <w:szCs w:val="21"/>
        </w:rPr>
        <w:t>Environment, Development and Sustainability</w:t>
      </w:r>
      <w:r>
        <w:rPr>
          <w:rFonts w:hint="eastAsia"/>
          <w:sz w:val="21"/>
          <w:szCs w:val="21"/>
        </w:rPr>
        <w:t>, 25(11), 12735–12759.</w:t>
      </w:r>
      <w:r>
        <w:rPr>
          <w:sz w:val="21"/>
          <w:szCs w:val="21"/>
        </w:rPr>
        <w:br w:type="textWrapping"/>
      </w:r>
      <w:r>
        <w:fldChar w:fldCharType="begin"/>
      </w:r>
      <w:r>
        <w:instrText xml:space="preserve"> HYPERLINK "https://doi.org/10.1007/s10668-022-02588-w" </w:instrText>
      </w:r>
      <w:r>
        <w:fldChar w:fldCharType="separate"/>
      </w:r>
      <w:r>
        <w:rPr>
          <w:rStyle w:val="23"/>
          <w:rFonts w:hint="eastAsia"/>
          <w:sz w:val="21"/>
          <w:szCs w:val="21"/>
        </w:rPr>
        <w:t>https://doi.org/10.1007/s10668-022-02588-w</w:t>
      </w:r>
      <w:bookmarkEnd w:id="81"/>
      <w:r>
        <w:rPr>
          <w:rStyle w:val="23"/>
          <w:rFonts w:hint="eastAsia"/>
          <w:sz w:val="21"/>
          <w:szCs w:val="21"/>
        </w:rPr>
        <w:fldChar w:fldCharType="end"/>
      </w:r>
    </w:p>
    <w:p w14:paraId="08284F5C">
      <w:pPr>
        <w:pStyle w:val="53"/>
        <w:spacing w:line="480" w:lineRule="auto"/>
        <w:ind w:left="420" w:hanging="420" w:hangingChars="200"/>
        <w:rPr>
          <w:rFonts w:ascii="Times New Roman" w:hAnsi="Times New Roman" w:eastAsia="宋体" w:cs="Times New Roman"/>
          <w:szCs w:val="21"/>
        </w:rPr>
      </w:pPr>
      <w:bookmarkStart w:id="82" w:name="_ENREF_58"/>
      <w:r>
        <w:rPr>
          <w:rFonts w:hint="eastAsia"/>
          <w:sz w:val="21"/>
          <w:szCs w:val="21"/>
        </w:rPr>
        <w:t xml:space="preserve">Zhong, X., Wang, J. &amp; Xiao, X. (2024). Empowering Agricultural Economic Resilience in China: Does Green Finance Matter? </w:t>
      </w:r>
      <w:r>
        <w:rPr>
          <w:rFonts w:hint="eastAsia"/>
          <w:i/>
          <w:sz w:val="21"/>
          <w:szCs w:val="21"/>
        </w:rPr>
        <w:t>Advances in Agriculture</w:t>
      </w:r>
      <w:r>
        <w:rPr>
          <w:rFonts w:hint="eastAsia"/>
          <w:sz w:val="21"/>
          <w:szCs w:val="21"/>
        </w:rPr>
        <w:t>, 2024(1), 1350399.</w:t>
      </w:r>
      <w:r>
        <w:rPr>
          <w:sz w:val="21"/>
          <w:szCs w:val="21"/>
        </w:rPr>
        <w:br w:type="textWrapping"/>
      </w:r>
      <w:r>
        <w:fldChar w:fldCharType="begin"/>
      </w:r>
      <w:r>
        <w:instrText xml:space="preserve"> HYPERLINK "https://doi.org/10.1155/aia/1350399" </w:instrText>
      </w:r>
      <w:r>
        <w:fldChar w:fldCharType="separate"/>
      </w:r>
      <w:r>
        <w:rPr>
          <w:rStyle w:val="23"/>
          <w:rFonts w:hint="eastAsia"/>
          <w:sz w:val="21"/>
          <w:szCs w:val="21"/>
        </w:rPr>
        <w:t>https://doi.org/10.1155/aia/1350399</w:t>
      </w:r>
      <w:bookmarkEnd w:id="82"/>
      <w:r>
        <w:rPr>
          <w:rStyle w:val="23"/>
          <w:rFonts w:hint="eastAsia"/>
          <w:sz w:val="21"/>
          <w:szCs w:val="21"/>
        </w:rPr>
        <w:fldChar w:fldCharType="end"/>
      </w:r>
      <w:r>
        <w:rPr>
          <w:rFonts w:ascii="Times New Roman" w:hAnsi="Times New Roman" w:eastAsia="宋体" w:cs="Times New Roman"/>
          <w:szCs w:val="21"/>
        </w:rPr>
        <w:fldChar w:fldCharType="end"/>
      </w:r>
    </w:p>
    <w:sectPr>
      <w:pgSz w:w="11906" w:h="16838"/>
      <w:pgMar w:top="1440" w:right="1797" w:bottom="1440" w:left="1797" w:header="851" w:footer="992" w:gutter="0"/>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Segoe UI">
    <w:panose1 w:val="020B0502040204020203"/>
    <w:charset w:val="00"/>
    <w:family w:val="swiss"/>
    <w:pitch w:val="default"/>
    <w:sig w:usb0="E4002EFF" w:usb1="C000E47F"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A6A7A45"/>
    <w:multiLevelType w:val="singleLevel"/>
    <w:tmpl w:val="7A6A7A45"/>
    <w:lvl w:ilvl="0" w:tentative="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SCS&lt;/Style&gt;&lt;LeftDelim&gt;{&lt;/LeftDelim&gt;&lt;RightDelim&gt;}&lt;/RightDelim&gt;&lt;FontName&gt;Times New Roman&lt;/FontName&gt;&lt;FontSize&gt;10&lt;/FontSize&gt;&lt;ReflistTitle&gt;&lt;/ReflistTitle&gt;&lt;StartingRefnum&gt;1&lt;/StartingRefnum&gt;&lt;FirstLineIndent&gt;0&lt;/FirstLineIndent&gt;&lt;HangingIndent&gt;-1&lt;/HangingIndent&gt;&lt;LineSpacing&gt;0&lt;/LineSpacing&gt;&lt;SpaceAfter&gt;0&lt;/SpaceAfter&gt;&lt;HyperlinksEnabled&gt;1&lt;/HyperlinksEnabled&gt;&lt;HyperlinksVisible&gt;1&lt;/HyperlinksVisible&gt;&lt;EnableBibliographyCategories&gt;0&lt;/EnableBibliographyCategories&gt;&lt;/ENLayout&gt;"/>
    <w:docVar w:name="EN.Libraries" w:val="&lt;Libraries&gt;&lt;item db-id=&quot;dv0v2adwc2etf1ep9tapzzz5vffpepr5wxwa&quot;&gt;我的EndNote库&lt;record-ids&gt;&lt;item&gt;1&lt;/item&gt;&lt;item&gt;2&lt;/item&gt;&lt;item&gt;3&lt;/item&gt;&lt;item&gt;4&lt;/item&gt;&lt;item&gt;5&lt;/item&gt;&lt;item&gt;6&lt;/item&gt;&lt;item&gt;7&lt;/item&gt;&lt;item&gt;8&lt;/item&gt;&lt;item&gt;9&lt;/item&gt;&lt;item&gt;10&lt;/item&gt;&lt;item&gt;12&lt;/item&gt;&lt;item&gt;13&lt;/item&gt;&lt;item&gt;14&lt;/item&gt;&lt;item&gt;15&lt;/item&gt;&lt;item&gt;16&lt;/item&gt;&lt;item&gt;17&lt;/item&gt;&lt;item&gt;18&lt;/item&gt;&lt;item&gt;19&lt;/item&gt;&lt;item&gt;20&lt;/item&gt;&lt;item&gt;21&lt;/item&gt;&lt;item&gt;22&lt;/item&gt;&lt;item&gt;23&lt;/item&gt;&lt;item&gt;25&lt;/item&gt;&lt;item&gt;27&lt;/item&gt;&lt;item&gt;28&lt;/item&gt;&lt;item&gt;29&lt;/item&gt;&lt;item&gt;30&lt;/item&gt;&lt;item&gt;32&lt;/item&gt;&lt;item&gt;33&lt;/item&gt;&lt;item&gt;34&lt;/item&gt;&lt;item&gt;35&lt;/item&gt;&lt;item&gt;36&lt;/item&gt;&lt;item&gt;38&lt;/item&gt;&lt;item&gt;39&lt;/item&gt;&lt;item&gt;40&lt;/item&gt;&lt;item&gt;41&lt;/item&gt;&lt;item&gt;42&lt;/item&gt;&lt;item&gt;43&lt;/item&gt;&lt;item&gt;44&lt;/item&gt;&lt;item&gt;45&lt;/item&gt;&lt;item&gt;46&lt;/item&gt;&lt;item&gt;47&lt;/item&gt;&lt;item&gt;48&lt;/item&gt;&lt;item&gt;49&lt;/item&gt;&lt;item&gt;50&lt;/item&gt;&lt;item&gt;51&lt;/item&gt;&lt;item&gt;52&lt;/item&gt;&lt;item&gt;53&lt;/item&gt;&lt;item&gt;54&lt;/item&gt;&lt;item&gt;55&lt;/item&gt;&lt;item&gt;56&lt;/item&gt;&lt;item&gt;57&lt;/item&gt;&lt;item&gt;58&lt;/item&gt;&lt;item&gt;59&lt;/item&gt;&lt;item&gt;61&lt;/item&gt;&lt;item&gt;62&lt;/item&gt;&lt;item&gt;63&lt;/item&gt;&lt;item&gt;64&lt;/item&gt;&lt;item&gt;65&lt;/item&gt;&lt;item&gt;66&lt;/item&gt;&lt;item&gt;67&lt;/item&gt;&lt;/record-ids&gt;&lt;/item&gt;&lt;/Libraries&gt;"/>
    <w:docVar w:name="EN.UseJSCitationFormat" w:val="False"/>
  </w:docVars>
  <w:rsids>
    <w:rsidRoot w:val="00D23E82"/>
    <w:rsid w:val="00001ECF"/>
    <w:rsid w:val="00014977"/>
    <w:rsid w:val="00021DC6"/>
    <w:rsid w:val="00024918"/>
    <w:rsid w:val="000323C7"/>
    <w:rsid w:val="00041072"/>
    <w:rsid w:val="00042FDC"/>
    <w:rsid w:val="00050022"/>
    <w:rsid w:val="000510E2"/>
    <w:rsid w:val="000521B0"/>
    <w:rsid w:val="00055766"/>
    <w:rsid w:val="0006270E"/>
    <w:rsid w:val="0006346C"/>
    <w:rsid w:val="00064233"/>
    <w:rsid w:val="0007050C"/>
    <w:rsid w:val="000728BC"/>
    <w:rsid w:val="000741D8"/>
    <w:rsid w:val="00074320"/>
    <w:rsid w:val="000758EE"/>
    <w:rsid w:val="000840DF"/>
    <w:rsid w:val="0008463F"/>
    <w:rsid w:val="00090081"/>
    <w:rsid w:val="00092D2D"/>
    <w:rsid w:val="000A278C"/>
    <w:rsid w:val="000A401D"/>
    <w:rsid w:val="000A4D7F"/>
    <w:rsid w:val="000A736B"/>
    <w:rsid w:val="000B0BB0"/>
    <w:rsid w:val="000B1584"/>
    <w:rsid w:val="000B3A33"/>
    <w:rsid w:val="000B457B"/>
    <w:rsid w:val="000B6B80"/>
    <w:rsid w:val="000C5805"/>
    <w:rsid w:val="000D0FCA"/>
    <w:rsid w:val="000D592D"/>
    <w:rsid w:val="000E07DE"/>
    <w:rsid w:val="000E3C6E"/>
    <w:rsid w:val="000E6A87"/>
    <w:rsid w:val="000F0BEA"/>
    <w:rsid w:val="000F0E83"/>
    <w:rsid w:val="000F35CB"/>
    <w:rsid w:val="0010073D"/>
    <w:rsid w:val="00103583"/>
    <w:rsid w:val="00103C17"/>
    <w:rsid w:val="00104566"/>
    <w:rsid w:val="001077FD"/>
    <w:rsid w:val="001128E9"/>
    <w:rsid w:val="001173C8"/>
    <w:rsid w:val="0012234A"/>
    <w:rsid w:val="00123938"/>
    <w:rsid w:val="0012413A"/>
    <w:rsid w:val="00126B6B"/>
    <w:rsid w:val="001305DF"/>
    <w:rsid w:val="00133812"/>
    <w:rsid w:val="00133D63"/>
    <w:rsid w:val="00136C3B"/>
    <w:rsid w:val="00140D2A"/>
    <w:rsid w:val="00141589"/>
    <w:rsid w:val="001458CD"/>
    <w:rsid w:val="00151C3F"/>
    <w:rsid w:val="00153D59"/>
    <w:rsid w:val="001561B3"/>
    <w:rsid w:val="00160F49"/>
    <w:rsid w:val="001624E1"/>
    <w:rsid w:val="0016469A"/>
    <w:rsid w:val="00166C15"/>
    <w:rsid w:val="0017194F"/>
    <w:rsid w:val="00192FCB"/>
    <w:rsid w:val="001969D3"/>
    <w:rsid w:val="00197823"/>
    <w:rsid w:val="001B0025"/>
    <w:rsid w:val="001B31C9"/>
    <w:rsid w:val="001B46A5"/>
    <w:rsid w:val="001B4D18"/>
    <w:rsid w:val="001B6110"/>
    <w:rsid w:val="001C021B"/>
    <w:rsid w:val="001D4A5A"/>
    <w:rsid w:val="001D73D0"/>
    <w:rsid w:val="001D75E7"/>
    <w:rsid w:val="001D7CCA"/>
    <w:rsid w:val="001E1A51"/>
    <w:rsid w:val="001E25E9"/>
    <w:rsid w:val="001E712F"/>
    <w:rsid w:val="001E7788"/>
    <w:rsid w:val="001F29F5"/>
    <w:rsid w:val="001F2EED"/>
    <w:rsid w:val="001F330A"/>
    <w:rsid w:val="001F368A"/>
    <w:rsid w:val="001F7398"/>
    <w:rsid w:val="001F7F18"/>
    <w:rsid w:val="0020007A"/>
    <w:rsid w:val="00201477"/>
    <w:rsid w:val="00201F35"/>
    <w:rsid w:val="002077E1"/>
    <w:rsid w:val="00210C33"/>
    <w:rsid w:val="00211D17"/>
    <w:rsid w:val="00222321"/>
    <w:rsid w:val="00222C3E"/>
    <w:rsid w:val="00223042"/>
    <w:rsid w:val="00223DFD"/>
    <w:rsid w:val="00224771"/>
    <w:rsid w:val="00230F16"/>
    <w:rsid w:val="00231E38"/>
    <w:rsid w:val="00233D07"/>
    <w:rsid w:val="00236FA0"/>
    <w:rsid w:val="00242FCA"/>
    <w:rsid w:val="002455E6"/>
    <w:rsid w:val="00252A1D"/>
    <w:rsid w:val="00252DF9"/>
    <w:rsid w:val="00252E75"/>
    <w:rsid w:val="002539E4"/>
    <w:rsid w:val="0025422D"/>
    <w:rsid w:val="00255A1B"/>
    <w:rsid w:val="002602FA"/>
    <w:rsid w:val="00263527"/>
    <w:rsid w:val="00264C1C"/>
    <w:rsid w:val="00264C7A"/>
    <w:rsid w:val="00267444"/>
    <w:rsid w:val="00270D1A"/>
    <w:rsid w:val="00271887"/>
    <w:rsid w:val="00271BF7"/>
    <w:rsid w:val="002731CB"/>
    <w:rsid w:val="002763CF"/>
    <w:rsid w:val="00276B7E"/>
    <w:rsid w:val="0028183F"/>
    <w:rsid w:val="00295053"/>
    <w:rsid w:val="00296498"/>
    <w:rsid w:val="00296DC4"/>
    <w:rsid w:val="002A04D0"/>
    <w:rsid w:val="002A5513"/>
    <w:rsid w:val="002A5C31"/>
    <w:rsid w:val="002C18C5"/>
    <w:rsid w:val="002C2A4A"/>
    <w:rsid w:val="002C581F"/>
    <w:rsid w:val="002D0D73"/>
    <w:rsid w:val="002D2845"/>
    <w:rsid w:val="002D6A12"/>
    <w:rsid w:val="002E139B"/>
    <w:rsid w:val="002E1F3C"/>
    <w:rsid w:val="002E5738"/>
    <w:rsid w:val="002F105E"/>
    <w:rsid w:val="002F1802"/>
    <w:rsid w:val="002F25DD"/>
    <w:rsid w:val="002F2F25"/>
    <w:rsid w:val="002F4297"/>
    <w:rsid w:val="00301C02"/>
    <w:rsid w:val="0030719B"/>
    <w:rsid w:val="00307243"/>
    <w:rsid w:val="003169E2"/>
    <w:rsid w:val="00317B86"/>
    <w:rsid w:val="003349B6"/>
    <w:rsid w:val="00337A59"/>
    <w:rsid w:val="00347144"/>
    <w:rsid w:val="00347659"/>
    <w:rsid w:val="0035363C"/>
    <w:rsid w:val="003546DE"/>
    <w:rsid w:val="00354FF8"/>
    <w:rsid w:val="00362695"/>
    <w:rsid w:val="003641ED"/>
    <w:rsid w:val="00364945"/>
    <w:rsid w:val="003709E8"/>
    <w:rsid w:val="00371AF7"/>
    <w:rsid w:val="00375805"/>
    <w:rsid w:val="00375EBC"/>
    <w:rsid w:val="00390B2A"/>
    <w:rsid w:val="00394C09"/>
    <w:rsid w:val="003978FE"/>
    <w:rsid w:val="003A1549"/>
    <w:rsid w:val="003A1A66"/>
    <w:rsid w:val="003A518C"/>
    <w:rsid w:val="003A551F"/>
    <w:rsid w:val="003A7892"/>
    <w:rsid w:val="003B2BDD"/>
    <w:rsid w:val="003B3A21"/>
    <w:rsid w:val="003C1421"/>
    <w:rsid w:val="003C2ED2"/>
    <w:rsid w:val="003C51B1"/>
    <w:rsid w:val="003C5E44"/>
    <w:rsid w:val="003C6F43"/>
    <w:rsid w:val="003D1420"/>
    <w:rsid w:val="003D161A"/>
    <w:rsid w:val="003D258F"/>
    <w:rsid w:val="003D4D98"/>
    <w:rsid w:val="003D60CC"/>
    <w:rsid w:val="003D6C69"/>
    <w:rsid w:val="003E4A7B"/>
    <w:rsid w:val="003F1DE8"/>
    <w:rsid w:val="003F1E6A"/>
    <w:rsid w:val="003F349D"/>
    <w:rsid w:val="003F368B"/>
    <w:rsid w:val="003F3D3F"/>
    <w:rsid w:val="003F6C17"/>
    <w:rsid w:val="00400D5F"/>
    <w:rsid w:val="004011D0"/>
    <w:rsid w:val="00405143"/>
    <w:rsid w:val="004064F1"/>
    <w:rsid w:val="00410D99"/>
    <w:rsid w:val="00413231"/>
    <w:rsid w:val="004159BC"/>
    <w:rsid w:val="00415EED"/>
    <w:rsid w:val="00416F8B"/>
    <w:rsid w:val="00425D9F"/>
    <w:rsid w:val="00430677"/>
    <w:rsid w:val="00432709"/>
    <w:rsid w:val="004406F5"/>
    <w:rsid w:val="00442505"/>
    <w:rsid w:val="00447CCB"/>
    <w:rsid w:val="004544D8"/>
    <w:rsid w:val="00461FD2"/>
    <w:rsid w:val="004656CF"/>
    <w:rsid w:val="00467C0E"/>
    <w:rsid w:val="00480C81"/>
    <w:rsid w:val="00484BE1"/>
    <w:rsid w:val="00485F20"/>
    <w:rsid w:val="004867D9"/>
    <w:rsid w:val="00490A58"/>
    <w:rsid w:val="00493250"/>
    <w:rsid w:val="004960A4"/>
    <w:rsid w:val="0049649E"/>
    <w:rsid w:val="004A01CC"/>
    <w:rsid w:val="004A0D2E"/>
    <w:rsid w:val="004A24B8"/>
    <w:rsid w:val="004A2E1A"/>
    <w:rsid w:val="004A51A1"/>
    <w:rsid w:val="004C2300"/>
    <w:rsid w:val="004C54DD"/>
    <w:rsid w:val="004C7571"/>
    <w:rsid w:val="004C7702"/>
    <w:rsid w:val="004D3A66"/>
    <w:rsid w:val="004D5575"/>
    <w:rsid w:val="004D5D73"/>
    <w:rsid w:val="004E3C63"/>
    <w:rsid w:val="004E4287"/>
    <w:rsid w:val="004E6370"/>
    <w:rsid w:val="004E78E6"/>
    <w:rsid w:val="004F1B7C"/>
    <w:rsid w:val="004F4162"/>
    <w:rsid w:val="004F4E15"/>
    <w:rsid w:val="00500515"/>
    <w:rsid w:val="00501605"/>
    <w:rsid w:val="0050214C"/>
    <w:rsid w:val="00504D6A"/>
    <w:rsid w:val="00507D77"/>
    <w:rsid w:val="005145EF"/>
    <w:rsid w:val="005209EE"/>
    <w:rsid w:val="0052214F"/>
    <w:rsid w:val="0053265E"/>
    <w:rsid w:val="00533C7C"/>
    <w:rsid w:val="00533CC7"/>
    <w:rsid w:val="0053697F"/>
    <w:rsid w:val="00544A52"/>
    <w:rsid w:val="00545446"/>
    <w:rsid w:val="00545741"/>
    <w:rsid w:val="00545777"/>
    <w:rsid w:val="005518A7"/>
    <w:rsid w:val="00552027"/>
    <w:rsid w:val="00555904"/>
    <w:rsid w:val="00556776"/>
    <w:rsid w:val="00571F56"/>
    <w:rsid w:val="00572339"/>
    <w:rsid w:val="005747DA"/>
    <w:rsid w:val="005768DD"/>
    <w:rsid w:val="00576E8B"/>
    <w:rsid w:val="00583E3A"/>
    <w:rsid w:val="00590CFE"/>
    <w:rsid w:val="005964B7"/>
    <w:rsid w:val="005A0FDB"/>
    <w:rsid w:val="005A2A61"/>
    <w:rsid w:val="005A34A6"/>
    <w:rsid w:val="005A36E6"/>
    <w:rsid w:val="005A3FA0"/>
    <w:rsid w:val="005B2743"/>
    <w:rsid w:val="005B2CD9"/>
    <w:rsid w:val="005B534A"/>
    <w:rsid w:val="005B593E"/>
    <w:rsid w:val="005B5F07"/>
    <w:rsid w:val="005C0C9E"/>
    <w:rsid w:val="005C1B20"/>
    <w:rsid w:val="005C7829"/>
    <w:rsid w:val="005D1E35"/>
    <w:rsid w:val="005D2B85"/>
    <w:rsid w:val="005D558C"/>
    <w:rsid w:val="005D79FE"/>
    <w:rsid w:val="005D7D89"/>
    <w:rsid w:val="005E0DA7"/>
    <w:rsid w:val="005E2A4F"/>
    <w:rsid w:val="005F0A8B"/>
    <w:rsid w:val="005F0E24"/>
    <w:rsid w:val="005F1007"/>
    <w:rsid w:val="005F1A4B"/>
    <w:rsid w:val="005F4E84"/>
    <w:rsid w:val="005F552A"/>
    <w:rsid w:val="0060151D"/>
    <w:rsid w:val="0060589B"/>
    <w:rsid w:val="0061211D"/>
    <w:rsid w:val="00612575"/>
    <w:rsid w:val="00612C03"/>
    <w:rsid w:val="0061411A"/>
    <w:rsid w:val="00615D3D"/>
    <w:rsid w:val="00616B51"/>
    <w:rsid w:val="00617959"/>
    <w:rsid w:val="00617B65"/>
    <w:rsid w:val="00620E06"/>
    <w:rsid w:val="006215BB"/>
    <w:rsid w:val="006223A6"/>
    <w:rsid w:val="00624A38"/>
    <w:rsid w:val="00626F36"/>
    <w:rsid w:val="00633250"/>
    <w:rsid w:val="006372F3"/>
    <w:rsid w:val="0063750D"/>
    <w:rsid w:val="006413F0"/>
    <w:rsid w:val="00641E42"/>
    <w:rsid w:val="00642C51"/>
    <w:rsid w:val="00643D5F"/>
    <w:rsid w:val="00646232"/>
    <w:rsid w:val="00655F10"/>
    <w:rsid w:val="00656910"/>
    <w:rsid w:val="0066067B"/>
    <w:rsid w:val="00666F43"/>
    <w:rsid w:val="00667DA0"/>
    <w:rsid w:val="006717D1"/>
    <w:rsid w:val="006724EA"/>
    <w:rsid w:val="00672D6B"/>
    <w:rsid w:val="00676A68"/>
    <w:rsid w:val="00681415"/>
    <w:rsid w:val="00681442"/>
    <w:rsid w:val="00682E90"/>
    <w:rsid w:val="00682F62"/>
    <w:rsid w:val="00684CDB"/>
    <w:rsid w:val="00685D27"/>
    <w:rsid w:val="00687709"/>
    <w:rsid w:val="006947B0"/>
    <w:rsid w:val="00696911"/>
    <w:rsid w:val="006A0189"/>
    <w:rsid w:val="006A0B6A"/>
    <w:rsid w:val="006A1778"/>
    <w:rsid w:val="006A2286"/>
    <w:rsid w:val="006A3577"/>
    <w:rsid w:val="006A4C7D"/>
    <w:rsid w:val="006B0ACA"/>
    <w:rsid w:val="006D64AD"/>
    <w:rsid w:val="006E052F"/>
    <w:rsid w:val="006E4A22"/>
    <w:rsid w:val="006E6A60"/>
    <w:rsid w:val="006F27D1"/>
    <w:rsid w:val="006F2C2F"/>
    <w:rsid w:val="006F4265"/>
    <w:rsid w:val="006F59AF"/>
    <w:rsid w:val="006F5B50"/>
    <w:rsid w:val="006F72CB"/>
    <w:rsid w:val="00701593"/>
    <w:rsid w:val="00702191"/>
    <w:rsid w:val="00702C2A"/>
    <w:rsid w:val="007055AF"/>
    <w:rsid w:val="00712F4E"/>
    <w:rsid w:val="00715A4C"/>
    <w:rsid w:val="00734605"/>
    <w:rsid w:val="00734D57"/>
    <w:rsid w:val="00735254"/>
    <w:rsid w:val="0073695B"/>
    <w:rsid w:val="00744A0F"/>
    <w:rsid w:val="007460CD"/>
    <w:rsid w:val="00750E7B"/>
    <w:rsid w:val="00751E40"/>
    <w:rsid w:val="0075358C"/>
    <w:rsid w:val="00754323"/>
    <w:rsid w:val="00757931"/>
    <w:rsid w:val="00762BCA"/>
    <w:rsid w:val="0076611E"/>
    <w:rsid w:val="00771E93"/>
    <w:rsid w:val="007722F7"/>
    <w:rsid w:val="007733B6"/>
    <w:rsid w:val="00775D2A"/>
    <w:rsid w:val="007853FE"/>
    <w:rsid w:val="00785D54"/>
    <w:rsid w:val="00790145"/>
    <w:rsid w:val="007929C7"/>
    <w:rsid w:val="007A1C2D"/>
    <w:rsid w:val="007A1DC2"/>
    <w:rsid w:val="007A5A98"/>
    <w:rsid w:val="007A6E40"/>
    <w:rsid w:val="007B238F"/>
    <w:rsid w:val="007B4DDA"/>
    <w:rsid w:val="007B6680"/>
    <w:rsid w:val="007B6F11"/>
    <w:rsid w:val="007B7070"/>
    <w:rsid w:val="007B7CAB"/>
    <w:rsid w:val="007C14EA"/>
    <w:rsid w:val="007C61CA"/>
    <w:rsid w:val="007C697D"/>
    <w:rsid w:val="007F0ACB"/>
    <w:rsid w:val="007F1DFB"/>
    <w:rsid w:val="007F3284"/>
    <w:rsid w:val="007F4134"/>
    <w:rsid w:val="007F7516"/>
    <w:rsid w:val="007F76B6"/>
    <w:rsid w:val="0080349A"/>
    <w:rsid w:val="00805416"/>
    <w:rsid w:val="0080714F"/>
    <w:rsid w:val="00807181"/>
    <w:rsid w:val="00812E47"/>
    <w:rsid w:val="0081334E"/>
    <w:rsid w:val="008155C6"/>
    <w:rsid w:val="00820807"/>
    <w:rsid w:val="00820F88"/>
    <w:rsid w:val="008228B9"/>
    <w:rsid w:val="008252EF"/>
    <w:rsid w:val="00827693"/>
    <w:rsid w:val="00827FC5"/>
    <w:rsid w:val="00836496"/>
    <w:rsid w:val="0084049F"/>
    <w:rsid w:val="008543B6"/>
    <w:rsid w:val="00854EDF"/>
    <w:rsid w:val="00862FFB"/>
    <w:rsid w:val="00866BB8"/>
    <w:rsid w:val="008701A8"/>
    <w:rsid w:val="00870DDF"/>
    <w:rsid w:val="00871D28"/>
    <w:rsid w:val="00872313"/>
    <w:rsid w:val="00874306"/>
    <w:rsid w:val="00875EF4"/>
    <w:rsid w:val="00876105"/>
    <w:rsid w:val="00876CD0"/>
    <w:rsid w:val="00877650"/>
    <w:rsid w:val="0088222C"/>
    <w:rsid w:val="0088270C"/>
    <w:rsid w:val="00884813"/>
    <w:rsid w:val="00884A60"/>
    <w:rsid w:val="008879C5"/>
    <w:rsid w:val="00887D1F"/>
    <w:rsid w:val="0089208B"/>
    <w:rsid w:val="0089270F"/>
    <w:rsid w:val="0089503B"/>
    <w:rsid w:val="00895269"/>
    <w:rsid w:val="00895A8C"/>
    <w:rsid w:val="00897E62"/>
    <w:rsid w:val="008A260E"/>
    <w:rsid w:val="008B3B03"/>
    <w:rsid w:val="008C11DD"/>
    <w:rsid w:val="008C2DDD"/>
    <w:rsid w:val="008D3636"/>
    <w:rsid w:val="008E0547"/>
    <w:rsid w:val="008E2033"/>
    <w:rsid w:val="008E52CE"/>
    <w:rsid w:val="008E6E0F"/>
    <w:rsid w:val="008F02CD"/>
    <w:rsid w:val="008F0927"/>
    <w:rsid w:val="0090061E"/>
    <w:rsid w:val="00907207"/>
    <w:rsid w:val="00910307"/>
    <w:rsid w:val="00911266"/>
    <w:rsid w:val="009120CA"/>
    <w:rsid w:val="00915103"/>
    <w:rsid w:val="0091565D"/>
    <w:rsid w:val="009204A9"/>
    <w:rsid w:val="00920E17"/>
    <w:rsid w:val="00921BAA"/>
    <w:rsid w:val="009233C8"/>
    <w:rsid w:val="0093666B"/>
    <w:rsid w:val="00937E00"/>
    <w:rsid w:val="00940EEB"/>
    <w:rsid w:val="00946998"/>
    <w:rsid w:val="00946DA8"/>
    <w:rsid w:val="009507CD"/>
    <w:rsid w:val="00951B4A"/>
    <w:rsid w:val="00952624"/>
    <w:rsid w:val="00955A7D"/>
    <w:rsid w:val="0096360A"/>
    <w:rsid w:val="00973CD8"/>
    <w:rsid w:val="00975E83"/>
    <w:rsid w:val="00976784"/>
    <w:rsid w:val="00977EED"/>
    <w:rsid w:val="00984D57"/>
    <w:rsid w:val="009855F4"/>
    <w:rsid w:val="009857D8"/>
    <w:rsid w:val="009872D1"/>
    <w:rsid w:val="00987492"/>
    <w:rsid w:val="009876FC"/>
    <w:rsid w:val="009909BB"/>
    <w:rsid w:val="00995D9B"/>
    <w:rsid w:val="00996890"/>
    <w:rsid w:val="00996D52"/>
    <w:rsid w:val="00997E14"/>
    <w:rsid w:val="009A52F5"/>
    <w:rsid w:val="009B1081"/>
    <w:rsid w:val="009B12F1"/>
    <w:rsid w:val="009B4B7E"/>
    <w:rsid w:val="009B4C53"/>
    <w:rsid w:val="009C6B29"/>
    <w:rsid w:val="009E097B"/>
    <w:rsid w:val="009E19B8"/>
    <w:rsid w:val="009E23A5"/>
    <w:rsid w:val="009E410E"/>
    <w:rsid w:val="009E4BAC"/>
    <w:rsid w:val="009E5E19"/>
    <w:rsid w:val="009E6FDF"/>
    <w:rsid w:val="009F33EA"/>
    <w:rsid w:val="009F4009"/>
    <w:rsid w:val="009F7EC4"/>
    <w:rsid w:val="00A00D40"/>
    <w:rsid w:val="00A0325E"/>
    <w:rsid w:val="00A036C5"/>
    <w:rsid w:val="00A0580E"/>
    <w:rsid w:val="00A1129F"/>
    <w:rsid w:val="00A1241A"/>
    <w:rsid w:val="00A13C70"/>
    <w:rsid w:val="00A16B1D"/>
    <w:rsid w:val="00A17FB8"/>
    <w:rsid w:val="00A24C26"/>
    <w:rsid w:val="00A24CD4"/>
    <w:rsid w:val="00A25DA7"/>
    <w:rsid w:val="00A26BA9"/>
    <w:rsid w:val="00A32E46"/>
    <w:rsid w:val="00A3569A"/>
    <w:rsid w:val="00A367E5"/>
    <w:rsid w:val="00A444BD"/>
    <w:rsid w:val="00A44D6A"/>
    <w:rsid w:val="00A45E76"/>
    <w:rsid w:val="00A478A1"/>
    <w:rsid w:val="00A525F7"/>
    <w:rsid w:val="00A52ABF"/>
    <w:rsid w:val="00A54D14"/>
    <w:rsid w:val="00A56152"/>
    <w:rsid w:val="00A57CFC"/>
    <w:rsid w:val="00A61239"/>
    <w:rsid w:val="00A617DD"/>
    <w:rsid w:val="00A65370"/>
    <w:rsid w:val="00A73216"/>
    <w:rsid w:val="00A73652"/>
    <w:rsid w:val="00A74BF8"/>
    <w:rsid w:val="00A80DAA"/>
    <w:rsid w:val="00A8145F"/>
    <w:rsid w:val="00A83F0F"/>
    <w:rsid w:val="00A909A6"/>
    <w:rsid w:val="00AA182C"/>
    <w:rsid w:val="00AB076F"/>
    <w:rsid w:val="00AB1F22"/>
    <w:rsid w:val="00AC361B"/>
    <w:rsid w:val="00AC4F88"/>
    <w:rsid w:val="00AC581B"/>
    <w:rsid w:val="00AC60F9"/>
    <w:rsid w:val="00AD2F8D"/>
    <w:rsid w:val="00AD4B8A"/>
    <w:rsid w:val="00AD4EDF"/>
    <w:rsid w:val="00AE0507"/>
    <w:rsid w:val="00AE0B68"/>
    <w:rsid w:val="00AE3B59"/>
    <w:rsid w:val="00AE4B4B"/>
    <w:rsid w:val="00AE6D1D"/>
    <w:rsid w:val="00AF3BB3"/>
    <w:rsid w:val="00AF3D08"/>
    <w:rsid w:val="00AF4B63"/>
    <w:rsid w:val="00AF5648"/>
    <w:rsid w:val="00AF617F"/>
    <w:rsid w:val="00B00A66"/>
    <w:rsid w:val="00B00B77"/>
    <w:rsid w:val="00B013F9"/>
    <w:rsid w:val="00B120CA"/>
    <w:rsid w:val="00B139EF"/>
    <w:rsid w:val="00B1470A"/>
    <w:rsid w:val="00B148CE"/>
    <w:rsid w:val="00B16FEC"/>
    <w:rsid w:val="00B17F8A"/>
    <w:rsid w:val="00B22D2C"/>
    <w:rsid w:val="00B24E26"/>
    <w:rsid w:val="00B27FA3"/>
    <w:rsid w:val="00B31888"/>
    <w:rsid w:val="00B31F35"/>
    <w:rsid w:val="00B40C5A"/>
    <w:rsid w:val="00B418D3"/>
    <w:rsid w:val="00B47737"/>
    <w:rsid w:val="00B51ACB"/>
    <w:rsid w:val="00B524F7"/>
    <w:rsid w:val="00B604A1"/>
    <w:rsid w:val="00B62113"/>
    <w:rsid w:val="00B66185"/>
    <w:rsid w:val="00B67D07"/>
    <w:rsid w:val="00B704FA"/>
    <w:rsid w:val="00B71D80"/>
    <w:rsid w:val="00B72126"/>
    <w:rsid w:val="00B74921"/>
    <w:rsid w:val="00B752F2"/>
    <w:rsid w:val="00B77A06"/>
    <w:rsid w:val="00BA1BC7"/>
    <w:rsid w:val="00BA6D89"/>
    <w:rsid w:val="00BA7A7D"/>
    <w:rsid w:val="00BB05D6"/>
    <w:rsid w:val="00BB3320"/>
    <w:rsid w:val="00BB38C0"/>
    <w:rsid w:val="00BB49D6"/>
    <w:rsid w:val="00BB6290"/>
    <w:rsid w:val="00BB7A0C"/>
    <w:rsid w:val="00BC1FB6"/>
    <w:rsid w:val="00BC4498"/>
    <w:rsid w:val="00BC5E83"/>
    <w:rsid w:val="00BC695E"/>
    <w:rsid w:val="00BD16D9"/>
    <w:rsid w:val="00BD498D"/>
    <w:rsid w:val="00BD5BCF"/>
    <w:rsid w:val="00BD6156"/>
    <w:rsid w:val="00BE0BDF"/>
    <w:rsid w:val="00BE20F1"/>
    <w:rsid w:val="00BE23A4"/>
    <w:rsid w:val="00BE3AF9"/>
    <w:rsid w:val="00BF26E8"/>
    <w:rsid w:val="00BF2888"/>
    <w:rsid w:val="00BF47D8"/>
    <w:rsid w:val="00C01545"/>
    <w:rsid w:val="00C05ED9"/>
    <w:rsid w:val="00C06405"/>
    <w:rsid w:val="00C0706E"/>
    <w:rsid w:val="00C070EE"/>
    <w:rsid w:val="00C13DFA"/>
    <w:rsid w:val="00C14299"/>
    <w:rsid w:val="00C1580B"/>
    <w:rsid w:val="00C24F00"/>
    <w:rsid w:val="00C265B7"/>
    <w:rsid w:val="00C340BB"/>
    <w:rsid w:val="00C356E9"/>
    <w:rsid w:val="00C4787D"/>
    <w:rsid w:val="00C54279"/>
    <w:rsid w:val="00C5429A"/>
    <w:rsid w:val="00C56CE6"/>
    <w:rsid w:val="00C56FEF"/>
    <w:rsid w:val="00C60DE4"/>
    <w:rsid w:val="00C61490"/>
    <w:rsid w:val="00C62517"/>
    <w:rsid w:val="00C6510E"/>
    <w:rsid w:val="00C6557D"/>
    <w:rsid w:val="00C7093A"/>
    <w:rsid w:val="00C74788"/>
    <w:rsid w:val="00C74B52"/>
    <w:rsid w:val="00C76EAD"/>
    <w:rsid w:val="00C831F8"/>
    <w:rsid w:val="00C85C9F"/>
    <w:rsid w:val="00C87A76"/>
    <w:rsid w:val="00C957C5"/>
    <w:rsid w:val="00CA2EE0"/>
    <w:rsid w:val="00CB2FBF"/>
    <w:rsid w:val="00CB306F"/>
    <w:rsid w:val="00CC5226"/>
    <w:rsid w:val="00CC7004"/>
    <w:rsid w:val="00CD32C5"/>
    <w:rsid w:val="00CD536C"/>
    <w:rsid w:val="00CD7D54"/>
    <w:rsid w:val="00CE2198"/>
    <w:rsid w:val="00CE2382"/>
    <w:rsid w:val="00CE4974"/>
    <w:rsid w:val="00CE62F8"/>
    <w:rsid w:val="00CE71BF"/>
    <w:rsid w:val="00CF36BE"/>
    <w:rsid w:val="00CF583E"/>
    <w:rsid w:val="00CF6A98"/>
    <w:rsid w:val="00D00711"/>
    <w:rsid w:val="00D02B65"/>
    <w:rsid w:val="00D02D24"/>
    <w:rsid w:val="00D0799C"/>
    <w:rsid w:val="00D20677"/>
    <w:rsid w:val="00D20B24"/>
    <w:rsid w:val="00D22388"/>
    <w:rsid w:val="00D229A5"/>
    <w:rsid w:val="00D22EF8"/>
    <w:rsid w:val="00D23E82"/>
    <w:rsid w:val="00D36797"/>
    <w:rsid w:val="00D37031"/>
    <w:rsid w:val="00D423CC"/>
    <w:rsid w:val="00D630F2"/>
    <w:rsid w:val="00D6373F"/>
    <w:rsid w:val="00D65844"/>
    <w:rsid w:val="00D74048"/>
    <w:rsid w:val="00D76248"/>
    <w:rsid w:val="00D8097E"/>
    <w:rsid w:val="00D84C1D"/>
    <w:rsid w:val="00D86CFF"/>
    <w:rsid w:val="00D97718"/>
    <w:rsid w:val="00DA006B"/>
    <w:rsid w:val="00DA1B9D"/>
    <w:rsid w:val="00DB0131"/>
    <w:rsid w:val="00DB0792"/>
    <w:rsid w:val="00DB4E3D"/>
    <w:rsid w:val="00DC0453"/>
    <w:rsid w:val="00DC0804"/>
    <w:rsid w:val="00DC39DF"/>
    <w:rsid w:val="00DC4E27"/>
    <w:rsid w:val="00DC7F79"/>
    <w:rsid w:val="00DD2DC4"/>
    <w:rsid w:val="00DD4AF6"/>
    <w:rsid w:val="00DD606D"/>
    <w:rsid w:val="00DD6E55"/>
    <w:rsid w:val="00DE6720"/>
    <w:rsid w:val="00DF47B7"/>
    <w:rsid w:val="00DF57AF"/>
    <w:rsid w:val="00DF6423"/>
    <w:rsid w:val="00E067FE"/>
    <w:rsid w:val="00E07088"/>
    <w:rsid w:val="00E11CA8"/>
    <w:rsid w:val="00E13A75"/>
    <w:rsid w:val="00E169A2"/>
    <w:rsid w:val="00E178CD"/>
    <w:rsid w:val="00E24B95"/>
    <w:rsid w:val="00E24CD5"/>
    <w:rsid w:val="00E26885"/>
    <w:rsid w:val="00E2769C"/>
    <w:rsid w:val="00E329F2"/>
    <w:rsid w:val="00E3461F"/>
    <w:rsid w:val="00E3668A"/>
    <w:rsid w:val="00E37C2F"/>
    <w:rsid w:val="00E40036"/>
    <w:rsid w:val="00E40F7E"/>
    <w:rsid w:val="00E440B7"/>
    <w:rsid w:val="00E46B12"/>
    <w:rsid w:val="00E500B0"/>
    <w:rsid w:val="00E60904"/>
    <w:rsid w:val="00E60AA9"/>
    <w:rsid w:val="00E63CDF"/>
    <w:rsid w:val="00E70277"/>
    <w:rsid w:val="00E70CDD"/>
    <w:rsid w:val="00E71DB2"/>
    <w:rsid w:val="00E739EB"/>
    <w:rsid w:val="00E73C8A"/>
    <w:rsid w:val="00E76D11"/>
    <w:rsid w:val="00E80AD3"/>
    <w:rsid w:val="00E8616E"/>
    <w:rsid w:val="00E876C7"/>
    <w:rsid w:val="00E90B1B"/>
    <w:rsid w:val="00E946D8"/>
    <w:rsid w:val="00EA3746"/>
    <w:rsid w:val="00EB289C"/>
    <w:rsid w:val="00EB5542"/>
    <w:rsid w:val="00EB6678"/>
    <w:rsid w:val="00EC2F99"/>
    <w:rsid w:val="00EC6804"/>
    <w:rsid w:val="00EC7E2A"/>
    <w:rsid w:val="00ED169E"/>
    <w:rsid w:val="00ED6C10"/>
    <w:rsid w:val="00ED79DE"/>
    <w:rsid w:val="00EE207D"/>
    <w:rsid w:val="00EE746A"/>
    <w:rsid w:val="00EF006D"/>
    <w:rsid w:val="00EF0F5E"/>
    <w:rsid w:val="00EF6E74"/>
    <w:rsid w:val="00EF7CA7"/>
    <w:rsid w:val="00F07334"/>
    <w:rsid w:val="00F07E44"/>
    <w:rsid w:val="00F11890"/>
    <w:rsid w:val="00F153C1"/>
    <w:rsid w:val="00F21298"/>
    <w:rsid w:val="00F31E9E"/>
    <w:rsid w:val="00F338EB"/>
    <w:rsid w:val="00F36174"/>
    <w:rsid w:val="00F36DE3"/>
    <w:rsid w:val="00F375F3"/>
    <w:rsid w:val="00F476E2"/>
    <w:rsid w:val="00F61C0A"/>
    <w:rsid w:val="00F6347C"/>
    <w:rsid w:val="00F63587"/>
    <w:rsid w:val="00F64C31"/>
    <w:rsid w:val="00F64CAE"/>
    <w:rsid w:val="00F72E7C"/>
    <w:rsid w:val="00F74D00"/>
    <w:rsid w:val="00F764BE"/>
    <w:rsid w:val="00F76D49"/>
    <w:rsid w:val="00F80EAF"/>
    <w:rsid w:val="00F81747"/>
    <w:rsid w:val="00F82392"/>
    <w:rsid w:val="00F91C8E"/>
    <w:rsid w:val="00F938D9"/>
    <w:rsid w:val="00FA2F2A"/>
    <w:rsid w:val="00FB2B02"/>
    <w:rsid w:val="00FB455A"/>
    <w:rsid w:val="00FB67BC"/>
    <w:rsid w:val="00FC01B8"/>
    <w:rsid w:val="00FC13D3"/>
    <w:rsid w:val="00FC1778"/>
    <w:rsid w:val="00FC402A"/>
    <w:rsid w:val="00FC7FED"/>
    <w:rsid w:val="00FD157E"/>
    <w:rsid w:val="00FD30BF"/>
    <w:rsid w:val="00FD3405"/>
    <w:rsid w:val="00FD38AA"/>
    <w:rsid w:val="00FE0013"/>
    <w:rsid w:val="00FE0650"/>
    <w:rsid w:val="00FE124E"/>
    <w:rsid w:val="00FE3368"/>
    <w:rsid w:val="00FE556A"/>
    <w:rsid w:val="00FF5FEF"/>
    <w:rsid w:val="00FF774B"/>
    <w:rsid w:val="021138F7"/>
    <w:rsid w:val="028B5457"/>
    <w:rsid w:val="03D472D2"/>
    <w:rsid w:val="06AC1E40"/>
    <w:rsid w:val="06D21DA2"/>
    <w:rsid w:val="08C71AF5"/>
    <w:rsid w:val="0A344626"/>
    <w:rsid w:val="0CFB58CF"/>
    <w:rsid w:val="10B97633"/>
    <w:rsid w:val="11627AC5"/>
    <w:rsid w:val="12900868"/>
    <w:rsid w:val="14B72BF8"/>
    <w:rsid w:val="175B1444"/>
    <w:rsid w:val="1A534654"/>
    <w:rsid w:val="1B593EEC"/>
    <w:rsid w:val="1BB92BDD"/>
    <w:rsid w:val="1C5D17BA"/>
    <w:rsid w:val="1DD24BFC"/>
    <w:rsid w:val="1F0C1276"/>
    <w:rsid w:val="20920EFC"/>
    <w:rsid w:val="21B005DE"/>
    <w:rsid w:val="24E0742D"/>
    <w:rsid w:val="24F2602B"/>
    <w:rsid w:val="285E1492"/>
    <w:rsid w:val="29A078DB"/>
    <w:rsid w:val="2A992557"/>
    <w:rsid w:val="2AF07C9E"/>
    <w:rsid w:val="314174A5"/>
    <w:rsid w:val="354421C5"/>
    <w:rsid w:val="354B460C"/>
    <w:rsid w:val="37B409D1"/>
    <w:rsid w:val="393022D9"/>
    <w:rsid w:val="395064D7"/>
    <w:rsid w:val="39567866"/>
    <w:rsid w:val="3A8E6BC3"/>
    <w:rsid w:val="3C4E2A76"/>
    <w:rsid w:val="4171348E"/>
    <w:rsid w:val="41A2189A"/>
    <w:rsid w:val="462F1B6A"/>
    <w:rsid w:val="49C16F7D"/>
    <w:rsid w:val="4DCD2DB6"/>
    <w:rsid w:val="540957A8"/>
    <w:rsid w:val="56847368"/>
    <w:rsid w:val="56A417B8"/>
    <w:rsid w:val="57122BC6"/>
    <w:rsid w:val="57BD42FE"/>
    <w:rsid w:val="57E5652D"/>
    <w:rsid w:val="580F5357"/>
    <w:rsid w:val="59AD6BD6"/>
    <w:rsid w:val="5B484E08"/>
    <w:rsid w:val="5C2018E1"/>
    <w:rsid w:val="5DF81F3B"/>
    <w:rsid w:val="606326E4"/>
    <w:rsid w:val="6071095D"/>
    <w:rsid w:val="62FC713F"/>
    <w:rsid w:val="633A772C"/>
    <w:rsid w:val="680B5B3B"/>
    <w:rsid w:val="68442DFB"/>
    <w:rsid w:val="6D2869AA"/>
    <w:rsid w:val="75E654F2"/>
    <w:rsid w:val="7625601A"/>
    <w:rsid w:val="7A9A6032"/>
    <w:rsid w:val="7F2257ED"/>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efaultImageDpi w14:val="32767"/>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5"/>
    <w:qFormat/>
    <w:uiPriority w:val="9"/>
    <w:pPr>
      <w:keepNext/>
      <w:keepLines/>
      <w:spacing w:before="480" w:after="80"/>
      <w:outlineLvl w:val="0"/>
    </w:pPr>
    <w:rPr>
      <w:rFonts w:asciiTheme="majorHAnsi" w:hAnsiTheme="majorHAnsi" w:eastAsiaTheme="majorEastAsia" w:cstheme="majorBidi"/>
      <w:color w:val="2F5597" w:themeColor="accent1" w:themeShade="BF"/>
      <w:sz w:val="48"/>
      <w:szCs w:val="48"/>
    </w:rPr>
  </w:style>
  <w:style w:type="paragraph" w:styleId="3">
    <w:name w:val="heading 2"/>
    <w:basedOn w:val="1"/>
    <w:next w:val="1"/>
    <w:link w:val="26"/>
    <w:semiHidden/>
    <w:unhideWhenUsed/>
    <w:qFormat/>
    <w:uiPriority w:val="9"/>
    <w:pPr>
      <w:keepNext/>
      <w:keepLines/>
      <w:spacing w:before="160" w:after="80"/>
      <w:outlineLvl w:val="1"/>
    </w:pPr>
    <w:rPr>
      <w:rFonts w:asciiTheme="majorHAnsi" w:hAnsiTheme="majorHAnsi" w:eastAsiaTheme="majorEastAsia" w:cstheme="majorBidi"/>
      <w:color w:val="2F5597" w:themeColor="accent1" w:themeShade="BF"/>
      <w:sz w:val="40"/>
      <w:szCs w:val="40"/>
    </w:rPr>
  </w:style>
  <w:style w:type="paragraph" w:styleId="4">
    <w:name w:val="heading 3"/>
    <w:basedOn w:val="1"/>
    <w:next w:val="1"/>
    <w:link w:val="27"/>
    <w:unhideWhenUsed/>
    <w:qFormat/>
    <w:uiPriority w:val="9"/>
    <w:pPr>
      <w:keepNext/>
      <w:keepLines/>
      <w:spacing w:before="160" w:after="80"/>
      <w:outlineLvl w:val="2"/>
    </w:pPr>
    <w:rPr>
      <w:rFonts w:asciiTheme="majorHAnsi" w:hAnsiTheme="majorHAnsi" w:eastAsiaTheme="majorEastAsia" w:cstheme="majorBidi"/>
      <w:color w:val="2F5597" w:themeColor="accent1" w:themeShade="BF"/>
      <w:sz w:val="32"/>
      <w:szCs w:val="32"/>
    </w:rPr>
  </w:style>
  <w:style w:type="paragraph" w:styleId="5">
    <w:name w:val="heading 4"/>
    <w:basedOn w:val="1"/>
    <w:next w:val="1"/>
    <w:link w:val="28"/>
    <w:semiHidden/>
    <w:unhideWhenUsed/>
    <w:qFormat/>
    <w:uiPriority w:val="9"/>
    <w:pPr>
      <w:keepNext/>
      <w:keepLines/>
      <w:spacing w:before="80" w:after="40"/>
      <w:outlineLvl w:val="3"/>
    </w:pPr>
    <w:rPr>
      <w:rFonts w:cstheme="majorBidi"/>
      <w:color w:val="2F5597" w:themeColor="accent1" w:themeShade="BF"/>
      <w:sz w:val="28"/>
      <w:szCs w:val="28"/>
    </w:rPr>
  </w:style>
  <w:style w:type="paragraph" w:styleId="6">
    <w:name w:val="heading 5"/>
    <w:basedOn w:val="1"/>
    <w:next w:val="1"/>
    <w:link w:val="29"/>
    <w:semiHidden/>
    <w:unhideWhenUsed/>
    <w:qFormat/>
    <w:uiPriority w:val="9"/>
    <w:pPr>
      <w:keepNext/>
      <w:keepLines/>
      <w:spacing w:before="80" w:after="40"/>
      <w:outlineLvl w:val="4"/>
    </w:pPr>
    <w:rPr>
      <w:rFonts w:cstheme="majorBidi"/>
      <w:color w:val="2F5597" w:themeColor="accent1" w:themeShade="BF"/>
      <w:sz w:val="24"/>
      <w:szCs w:val="24"/>
    </w:rPr>
  </w:style>
  <w:style w:type="paragraph" w:styleId="7">
    <w:name w:val="heading 6"/>
    <w:basedOn w:val="1"/>
    <w:next w:val="1"/>
    <w:link w:val="30"/>
    <w:semiHidden/>
    <w:unhideWhenUsed/>
    <w:qFormat/>
    <w:uiPriority w:val="9"/>
    <w:pPr>
      <w:keepNext/>
      <w:keepLines/>
      <w:spacing w:before="40"/>
      <w:outlineLvl w:val="5"/>
    </w:pPr>
    <w:rPr>
      <w:rFonts w:cstheme="majorBidi"/>
      <w:b/>
      <w:bCs/>
      <w:color w:val="2F5597" w:themeColor="accent1" w:themeShade="BF"/>
    </w:rPr>
  </w:style>
  <w:style w:type="paragraph" w:styleId="8">
    <w:name w:val="heading 7"/>
    <w:basedOn w:val="1"/>
    <w:next w:val="1"/>
    <w:link w:val="3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2"/>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33"/>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link w:val="57"/>
    <w:unhideWhenUsed/>
    <w:qFormat/>
    <w:uiPriority w:val="35"/>
    <w:rPr>
      <w:rFonts w:eastAsia="黑体" w:asciiTheme="majorHAnsi" w:hAnsiTheme="majorHAnsi" w:cstheme="majorBidi"/>
      <w:sz w:val="20"/>
      <w:szCs w:val="20"/>
    </w:rPr>
  </w:style>
  <w:style w:type="paragraph" w:styleId="12">
    <w:name w:val="annotation text"/>
    <w:basedOn w:val="1"/>
    <w:link w:val="43"/>
    <w:unhideWhenUsed/>
    <w:qFormat/>
    <w:uiPriority w:val="99"/>
    <w:pPr>
      <w:jc w:val="left"/>
    </w:pPr>
  </w:style>
  <w:style w:type="paragraph" w:styleId="13">
    <w:name w:val="footer"/>
    <w:basedOn w:val="1"/>
    <w:link w:val="49"/>
    <w:unhideWhenUsed/>
    <w:qFormat/>
    <w:uiPriority w:val="99"/>
    <w:pPr>
      <w:tabs>
        <w:tab w:val="center" w:pos="4153"/>
        <w:tab w:val="right" w:pos="8306"/>
      </w:tabs>
      <w:snapToGrid w:val="0"/>
      <w:jc w:val="left"/>
    </w:pPr>
    <w:rPr>
      <w:sz w:val="18"/>
      <w:szCs w:val="18"/>
    </w:rPr>
  </w:style>
  <w:style w:type="paragraph" w:styleId="14">
    <w:name w:val="header"/>
    <w:basedOn w:val="1"/>
    <w:link w:val="48"/>
    <w:unhideWhenUsed/>
    <w:qFormat/>
    <w:uiPriority w:val="99"/>
    <w:pPr>
      <w:tabs>
        <w:tab w:val="center" w:pos="4153"/>
        <w:tab w:val="right" w:pos="8306"/>
      </w:tabs>
      <w:snapToGrid w:val="0"/>
      <w:jc w:val="center"/>
    </w:pPr>
    <w:rPr>
      <w:sz w:val="18"/>
      <w:szCs w:val="18"/>
    </w:rPr>
  </w:style>
  <w:style w:type="paragraph" w:styleId="15">
    <w:name w:val="Subtitle"/>
    <w:basedOn w:val="1"/>
    <w:next w:val="1"/>
    <w:link w:val="35"/>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6">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7">
    <w:name w:val="Title"/>
    <w:basedOn w:val="1"/>
    <w:next w:val="1"/>
    <w:link w:val="34"/>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styleId="18">
    <w:name w:val="annotation subject"/>
    <w:basedOn w:val="12"/>
    <w:next w:val="12"/>
    <w:link w:val="44"/>
    <w:semiHidden/>
    <w:unhideWhenUsed/>
    <w:qFormat/>
    <w:uiPriority w:val="99"/>
    <w:rPr>
      <w:b/>
      <w:bCs/>
    </w:rPr>
  </w:style>
  <w:style w:type="table" w:styleId="20">
    <w:name w:val="Table Grid"/>
    <w:basedOn w:val="19"/>
    <w:qFormat/>
    <w:uiPriority w:val="59"/>
    <w:rPr>
      <w:kern w:val="0"/>
      <w:sz w:val="22"/>
      <w:lang w:eastAsia="en-US"/>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22">
    <w:name w:val="FollowedHyperlink"/>
    <w:basedOn w:val="21"/>
    <w:unhideWhenUsed/>
    <w:qFormat/>
    <w:uiPriority w:val="99"/>
    <w:rPr>
      <w:color w:val="954F72" w:themeColor="followedHyperlink"/>
      <w:u w:val="single"/>
      <w14:textFill>
        <w14:solidFill>
          <w14:schemeClr w14:val="folHlink"/>
        </w14:solidFill>
      </w14:textFill>
    </w:rPr>
  </w:style>
  <w:style w:type="character" w:styleId="23">
    <w:name w:val="Hyperlink"/>
    <w:basedOn w:val="21"/>
    <w:unhideWhenUsed/>
    <w:qFormat/>
    <w:uiPriority w:val="99"/>
    <w:rPr>
      <w:rFonts w:ascii="Times New Roman" w:hAnsi="Times New Roman"/>
      <w:color w:val="0563C1" w:themeColor="hyperlink"/>
      <w:u w:val="none"/>
      <w14:textFill>
        <w14:solidFill>
          <w14:schemeClr w14:val="hlink"/>
        </w14:solidFill>
      </w14:textFill>
    </w:rPr>
  </w:style>
  <w:style w:type="character" w:styleId="24">
    <w:name w:val="annotation reference"/>
    <w:basedOn w:val="21"/>
    <w:semiHidden/>
    <w:unhideWhenUsed/>
    <w:qFormat/>
    <w:uiPriority w:val="99"/>
    <w:rPr>
      <w:sz w:val="21"/>
      <w:szCs w:val="21"/>
    </w:rPr>
  </w:style>
  <w:style w:type="character" w:customStyle="1" w:styleId="25">
    <w:name w:val="标题 1 字符"/>
    <w:basedOn w:val="21"/>
    <w:link w:val="2"/>
    <w:qFormat/>
    <w:uiPriority w:val="9"/>
    <w:rPr>
      <w:rFonts w:asciiTheme="majorHAnsi" w:hAnsiTheme="majorHAnsi" w:eastAsiaTheme="majorEastAsia" w:cstheme="majorBidi"/>
      <w:color w:val="2F5597" w:themeColor="accent1" w:themeShade="BF"/>
      <w:sz w:val="48"/>
      <w:szCs w:val="48"/>
    </w:rPr>
  </w:style>
  <w:style w:type="character" w:customStyle="1" w:styleId="26">
    <w:name w:val="标题 2 字符"/>
    <w:basedOn w:val="21"/>
    <w:link w:val="3"/>
    <w:semiHidden/>
    <w:qFormat/>
    <w:uiPriority w:val="9"/>
    <w:rPr>
      <w:rFonts w:asciiTheme="majorHAnsi" w:hAnsiTheme="majorHAnsi" w:eastAsiaTheme="majorEastAsia" w:cstheme="majorBidi"/>
      <w:color w:val="2F5597" w:themeColor="accent1" w:themeShade="BF"/>
      <w:sz w:val="40"/>
      <w:szCs w:val="40"/>
    </w:rPr>
  </w:style>
  <w:style w:type="character" w:customStyle="1" w:styleId="27">
    <w:name w:val="标题 3 字符"/>
    <w:basedOn w:val="21"/>
    <w:link w:val="4"/>
    <w:qFormat/>
    <w:uiPriority w:val="9"/>
    <w:rPr>
      <w:rFonts w:asciiTheme="majorHAnsi" w:hAnsiTheme="majorHAnsi" w:eastAsiaTheme="majorEastAsia" w:cstheme="majorBidi"/>
      <w:color w:val="2F5597" w:themeColor="accent1" w:themeShade="BF"/>
      <w:sz w:val="32"/>
      <w:szCs w:val="32"/>
    </w:rPr>
  </w:style>
  <w:style w:type="character" w:customStyle="1" w:styleId="28">
    <w:name w:val="标题 4 字符"/>
    <w:basedOn w:val="21"/>
    <w:link w:val="5"/>
    <w:semiHidden/>
    <w:qFormat/>
    <w:uiPriority w:val="9"/>
    <w:rPr>
      <w:rFonts w:cstheme="majorBidi"/>
      <w:color w:val="2F5597" w:themeColor="accent1" w:themeShade="BF"/>
      <w:sz w:val="28"/>
      <w:szCs w:val="28"/>
    </w:rPr>
  </w:style>
  <w:style w:type="character" w:customStyle="1" w:styleId="29">
    <w:name w:val="标题 5 字符"/>
    <w:basedOn w:val="21"/>
    <w:link w:val="6"/>
    <w:semiHidden/>
    <w:qFormat/>
    <w:uiPriority w:val="9"/>
    <w:rPr>
      <w:rFonts w:cstheme="majorBidi"/>
      <w:color w:val="2F5597" w:themeColor="accent1" w:themeShade="BF"/>
      <w:sz w:val="24"/>
      <w:szCs w:val="24"/>
    </w:rPr>
  </w:style>
  <w:style w:type="character" w:customStyle="1" w:styleId="30">
    <w:name w:val="标题 6 字符"/>
    <w:basedOn w:val="21"/>
    <w:link w:val="7"/>
    <w:semiHidden/>
    <w:qFormat/>
    <w:uiPriority w:val="9"/>
    <w:rPr>
      <w:rFonts w:cstheme="majorBidi"/>
      <w:b/>
      <w:bCs/>
      <w:color w:val="2F5597" w:themeColor="accent1" w:themeShade="BF"/>
    </w:rPr>
  </w:style>
  <w:style w:type="character" w:customStyle="1" w:styleId="31">
    <w:name w:val="标题 7 字符"/>
    <w:basedOn w:val="21"/>
    <w:link w:val="8"/>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character" w:customStyle="1" w:styleId="32">
    <w:name w:val="标题 8 字符"/>
    <w:basedOn w:val="21"/>
    <w:link w:val="9"/>
    <w:semiHidden/>
    <w:qFormat/>
    <w:uiPriority w:val="9"/>
    <w:rPr>
      <w:rFonts w:cstheme="majorBidi"/>
      <w:color w:val="595959" w:themeColor="text1" w:themeTint="A6"/>
      <w14:textFill>
        <w14:solidFill>
          <w14:schemeClr w14:val="tx1">
            <w14:lumMod w14:val="65000"/>
            <w14:lumOff w14:val="35000"/>
          </w14:schemeClr>
        </w14:solidFill>
      </w14:textFill>
    </w:rPr>
  </w:style>
  <w:style w:type="character" w:customStyle="1" w:styleId="33">
    <w:name w:val="标题 9 字符"/>
    <w:basedOn w:val="21"/>
    <w:link w:val="10"/>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4">
    <w:name w:val="标题 字符"/>
    <w:basedOn w:val="21"/>
    <w:link w:val="17"/>
    <w:qFormat/>
    <w:uiPriority w:val="10"/>
    <w:rPr>
      <w:rFonts w:asciiTheme="majorHAnsi" w:hAnsiTheme="majorHAnsi" w:eastAsiaTheme="majorEastAsia" w:cstheme="majorBidi"/>
      <w:spacing w:val="-10"/>
      <w:kern w:val="28"/>
      <w:sz w:val="56"/>
      <w:szCs w:val="56"/>
    </w:rPr>
  </w:style>
  <w:style w:type="character" w:customStyle="1" w:styleId="35">
    <w:name w:val="副标题 字符"/>
    <w:basedOn w:val="21"/>
    <w:link w:val="15"/>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6">
    <w:name w:val="Quote"/>
    <w:basedOn w:val="1"/>
    <w:next w:val="1"/>
    <w:link w:val="37"/>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37">
    <w:name w:val="引用 字符"/>
    <w:basedOn w:val="21"/>
    <w:link w:val="36"/>
    <w:qFormat/>
    <w:uiPriority w:val="29"/>
    <w:rPr>
      <w:i/>
      <w:iCs/>
      <w:color w:val="404040" w:themeColor="text1" w:themeTint="BF"/>
      <w14:textFill>
        <w14:solidFill>
          <w14:schemeClr w14:val="tx1">
            <w14:lumMod w14:val="75000"/>
            <w14:lumOff w14:val="25000"/>
          </w14:schemeClr>
        </w14:solidFill>
      </w14:textFill>
    </w:rPr>
  </w:style>
  <w:style w:type="paragraph" w:styleId="38">
    <w:name w:val="List Paragraph"/>
    <w:basedOn w:val="1"/>
    <w:qFormat/>
    <w:uiPriority w:val="34"/>
    <w:pPr>
      <w:ind w:left="720"/>
      <w:contextualSpacing/>
    </w:pPr>
  </w:style>
  <w:style w:type="character" w:customStyle="1" w:styleId="39">
    <w:name w:val="Intense Emphasis"/>
    <w:basedOn w:val="21"/>
    <w:qFormat/>
    <w:uiPriority w:val="21"/>
    <w:rPr>
      <w:i/>
      <w:iCs/>
      <w:color w:val="2F5597" w:themeColor="accent1" w:themeShade="BF"/>
    </w:rPr>
  </w:style>
  <w:style w:type="paragraph" w:styleId="40">
    <w:name w:val="Intense Quote"/>
    <w:basedOn w:val="1"/>
    <w:next w:val="1"/>
    <w:link w:val="41"/>
    <w:qFormat/>
    <w:uiPriority w:val="30"/>
    <w:pPr>
      <w:pBdr>
        <w:top w:val="single" w:color="2F5496" w:themeColor="accent1" w:themeShade="BF" w:sz="4" w:space="10"/>
        <w:bottom w:val="single" w:color="2F5496" w:themeColor="accent1" w:themeShade="BF" w:sz="4" w:space="10"/>
      </w:pBdr>
      <w:spacing w:before="360" w:after="360"/>
      <w:ind w:left="864" w:right="864"/>
      <w:jc w:val="center"/>
    </w:pPr>
    <w:rPr>
      <w:i/>
      <w:iCs/>
      <w:color w:val="2F5597" w:themeColor="accent1" w:themeShade="BF"/>
    </w:rPr>
  </w:style>
  <w:style w:type="character" w:customStyle="1" w:styleId="41">
    <w:name w:val="明显引用 字符"/>
    <w:basedOn w:val="21"/>
    <w:link w:val="40"/>
    <w:qFormat/>
    <w:uiPriority w:val="30"/>
    <w:rPr>
      <w:i/>
      <w:iCs/>
      <w:color w:val="2F5597" w:themeColor="accent1" w:themeShade="BF"/>
    </w:rPr>
  </w:style>
  <w:style w:type="character" w:customStyle="1" w:styleId="42">
    <w:name w:val="Intense Reference"/>
    <w:basedOn w:val="21"/>
    <w:qFormat/>
    <w:uiPriority w:val="32"/>
    <w:rPr>
      <w:b/>
      <w:bCs/>
      <w:smallCaps/>
      <w:color w:val="2F5597" w:themeColor="accent1" w:themeShade="BF"/>
      <w:spacing w:val="5"/>
    </w:rPr>
  </w:style>
  <w:style w:type="character" w:customStyle="1" w:styleId="43">
    <w:name w:val="批注文字 字符"/>
    <w:basedOn w:val="21"/>
    <w:link w:val="12"/>
    <w:qFormat/>
    <w:uiPriority w:val="99"/>
  </w:style>
  <w:style w:type="character" w:customStyle="1" w:styleId="44">
    <w:name w:val="批注主题 字符"/>
    <w:basedOn w:val="43"/>
    <w:link w:val="18"/>
    <w:semiHidden/>
    <w:qFormat/>
    <w:uiPriority w:val="99"/>
    <w:rPr>
      <w:b/>
      <w:bCs/>
    </w:rPr>
  </w:style>
  <w:style w:type="paragraph" w:customStyle="1" w:styleId="45">
    <w:name w:val="MTDisplayEquation"/>
    <w:basedOn w:val="1"/>
    <w:next w:val="1"/>
    <w:link w:val="46"/>
    <w:qFormat/>
    <w:uiPriority w:val="0"/>
    <w:pPr>
      <w:tabs>
        <w:tab w:val="center" w:pos="4160"/>
        <w:tab w:val="right" w:pos="8300"/>
      </w:tabs>
    </w:pPr>
    <w:rPr>
      <w:rFonts w:ascii="宋体" w:hAnsi="宋体" w:eastAsia="宋体"/>
      <w:sz w:val="24"/>
      <w:szCs w:val="24"/>
    </w:rPr>
  </w:style>
  <w:style w:type="character" w:customStyle="1" w:styleId="46">
    <w:name w:val="MTDisplayEquation 字符"/>
    <w:basedOn w:val="21"/>
    <w:link w:val="45"/>
    <w:qFormat/>
    <w:uiPriority w:val="0"/>
    <w:rPr>
      <w:rFonts w:ascii="宋体" w:hAnsi="宋体" w:eastAsia="宋体"/>
      <w:sz w:val="24"/>
      <w:szCs w:val="24"/>
    </w:rPr>
  </w:style>
  <w:style w:type="character" w:customStyle="1" w:styleId="47">
    <w:name w:val="未处理的提及1"/>
    <w:basedOn w:val="21"/>
    <w:semiHidden/>
    <w:unhideWhenUsed/>
    <w:qFormat/>
    <w:uiPriority w:val="99"/>
    <w:rPr>
      <w:color w:val="605E5C"/>
      <w:shd w:val="clear" w:color="auto" w:fill="E1DFDD"/>
    </w:rPr>
  </w:style>
  <w:style w:type="character" w:customStyle="1" w:styleId="48">
    <w:name w:val="页眉 字符"/>
    <w:basedOn w:val="21"/>
    <w:link w:val="14"/>
    <w:qFormat/>
    <w:uiPriority w:val="99"/>
    <w:rPr>
      <w:sz w:val="18"/>
      <w:szCs w:val="18"/>
    </w:rPr>
  </w:style>
  <w:style w:type="character" w:customStyle="1" w:styleId="49">
    <w:name w:val="页脚 字符"/>
    <w:basedOn w:val="21"/>
    <w:link w:val="13"/>
    <w:qFormat/>
    <w:uiPriority w:val="99"/>
    <w:rPr>
      <w:sz w:val="18"/>
      <w:szCs w:val="18"/>
    </w:rPr>
  </w:style>
  <w:style w:type="table" w:customStyle="1" w:styleId="50">
    <w:name w:val="三线表"/>
    <w:basedOn w:val="19"/>
    <w:qFormat/>
    <w:uiPriority w:val="99"/>
    <w:pPr>
      <w:spacing w:line="360" w:lineRule="exact"/>
      <w:jc w:val="center"/>
    </w:pPr>
    <w:rPr>
      <w:rFonts w:eastAsia="宋体"/>
      <w:sz w:val="24"/>
    </w:rPr>
    <w:tblPr>
      <w:tblBorders>
        <w:top w:val="single" w:color="auto" w:sz="12" w:space="0"/>
        <w:bottom w:val="single" w:color="auto" w:sz="12" w:space="0"/>
      </w:tblBorders>
    </w:tblPr>
    <w:tblStylePr w:type="firstRow">
      <w:tcPr>
        <w:tcBorders>
          <w:top w:val="single" w:color="auto" w:sz="12" w:space="0"/>
          <w:left w:val="nil"/>
          <w:bottom w:val="single" w:color="auto" w:sz="6" w:space="0"/>
          <w:right w:val="nil"/>
          <w:insideH w:val="nil"/>
          <w:insideV w:val="nil"/>
          <w:tl2br w:val="nil"/>
          <w:tr2bl w:val="nil"/>
        </w:tcBorders>
      </w:tcPr>
    </w:tblStylePr>
  </w:style>
  <w:style w:type="paragraph" w:customStyle="1" w:styleId="51">
    <w:name w:val="EndNote Bibliography Title"/>
    <w:basedOn w:val="1"/>
    <w:link w:val="52"/>
    <w:qFormat/>
    <w:uiPriority w:val="0"/>
    <w:pPr>
      <w:jc w:val="center"/>
    </w:pPr>
    <w:rPr>
      <w:rFonts w:ascii="Times New Roman" w:hAnsi="Times New Roman" w:eastAsia="等线" w:cs="Times New Roman"/>
      <w:sz w:val="20"/>
    </w:rPr>
  </w:style>
  <w:style w:type="character" w:customStyle="1" w:styleId="52">
    <w:name w:val="EndNote Bibliography Title 字符"/>
    <w:basedOn w:val="21"/>
    <w:link w:val="51"/>
    <w:qFormat/>
    <w:uiPriority w:val="0"/>
    <w:rPr>
      <w:rFonts w:ascii="Times New Roman" w:hAnsi="Times New Roman" w:eastAsia="等线" w:cs="Times New Roman"/>
      <w:sz w:val="20"/>
    </w:rPr>
  </w:style>
  <w:style w:type="paragraph" w:customStyle="1" w:styleId="53">
    <w:name w:val="EndNote Bibliography"/>
    <w:basedOn w:val="1"/>
    <w:link w:val="54"/>
    <w:qFormat/>
    <w:uiPriority w:val="0"/>
    <w:rPr>
      <w:rFonts w:ascii="Times New Roman" w:hAnsi="Times New Roman" w:eastAsia="等线" w:cs="Times New Roman"/>
      <w:sz w:val="20"/>
    </w:rPr>
  </w:style>
  <w:style w:type="character" w:customStyle="1" w:styleId="54">
    <w:name w:val="EndNote Bibliography 字符"/>
    <w:basedOn w:val="21"/>
    <w:link w:val="53"/>
    <w:qFormat/>
    <w:uiPriority w:val="0"/>
    <w:rPr>
      <w:rFonts w:ascii="Times New Roman" w:hAnsi="Times New Roman" w:eastAsia="等线" w:cs="Times New Roman"/>
      <w:sz w:val="20"/>
    </w:rPr>
  </w:style>
  <w:style w:type="character" w:customStyle="1" w:styleId="55">
    <w:name w:val="Unresolved Mention"/>
    <w:basedOn w:val="21"/>
    <w:semiHidden/>
    <w:unhideWhenUsed/>
    <w:qFormat/>
    <w:uiPriority w:val="99"/>
    <w:rPr>
      <w:color w:val="605E5C"/>
      <w:shd w:val="clear" w:color="auto" w:fill="E1DFDD"/>
    </w:rPr>
  </w:style>
  <w:style w:type="paragraph" w:customStyle="1" w:styleId="56">
    <w:name w:val="表注"/>
    <w:basedOn w:val="11"/>
    <w:link w:val="58"/>
    <w:qFormat/>
    <w:uiPriority w:val="0"/>
    <w:pPr>
      <w:spacing w:before="100" w:beforeLines="100" w:line="480" w:lineRule="auto"/>
      <w:jc w:val="left"/>
    </w:pPr>
    <w:rPr>
      <w:rFonts w:ascii="Times New Roman" w:hAnsi="Times New Roman" w:eastAsia="Times New Roman"/>
      <w:b/>
      <w:sz w:val="18"/>
    </w:rPr>
  </w:style>
  <w:style w:type="character" w:customStyle="1" w:styleId="57">
    <w:name w:val="题注 字符"/>
    <w:basedOn w:val="21"/>
    <w:link w:val="11"/>
    <w:qFormat/>
    <w:uiPriority w:val="35"/>
    <w:rPr>
      <w:rFonts w:eastAsia="黑体" w:asciiTheme="majorHAnsi" w:hAnsiTheme="majorHAnsi" w:cstheme="majorBidi"/>
      <w:sz w:val="20"/>
      <w:szCs w:val="20"/>
    </w:rPr>
  </w:style>
  <w:style w:type="character" w:customStyle="1" w:styleId="58">
    <w:name w:val="表注 字符"/>
    <w:basedOn w:val="57"/>
    <w:link w:val="56"/>
    <w:qFormat/>
    <w:uiPriority w:val="0"/>
    <w:rPr>
      <w:rFonts w:ascii="Times New Roman" w:hAnsi="Times New Roman" w:eastAsia="Times New Roman" w:cstheme="majorBidi"/>
      <w:b/>
      <w:sz w:val="18"/>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wmf"/><Relationship Id="rId8" Type="http://schemas.openxmlformats.org/officeDocument/2006/relationships/oleObject" Target="embeddings/oleObject2.bin"/><Relationship Id="rId7" Type="http://schemas.openxmlformats.org/officeDocument/2006/relationships/image" Target="media/image3.wmf"/><Relationship Id="rId6" Type="http://schemas.openxmlformats.org/officeDocument/2006/relationships/oleObject" Target="embeddings/oleObject1.bin"/><Relationship Id="rId5" Type="http://schemas.openxmlformats.org/officeDocument/2006/relationships/image" Target="media/image2.png"/><Relationship Id="rId4" Type="http://schemas.openxmlformats.org/officeDocument/2006/relationships/image" Target="media/image1.png"/><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numbering" Target="numbering.xml"/><Relationship Id="rId31" Type="http://schemas.openxmlformats.org/officeDocument/2006/relationships/image" Target="media/image15.wmf"/><Relationship Id="rId30" Type="http://schemas.openxmlformats.org/officeDocument/2006/relationships/oleObject" Target="embeddings/oleObject13.bin"/><Relationship Id="rId3" Type="http://schemas.openxmlformats.org/officeDocument/2006/relationships/theme" Target="theme/theme1.xml"/><Relationship Id="rId29" Type="http://schemas.openxmlformats.org/officeDocument/2006/relationships/image" Target="media/image14.wmf"/><Relationship Id="rId28" Type="http://schemas.openxmlformats.org/officeDocument/2006/relationships/oleObject" Target="embeddings/oleObject12.bin"/><Relationship Id="rId27" Type="http://schemas.openxmlformats.org/officeDocument/2006/relationships/image" Target="media/image13.wmf"/><Relationship Id="rId26" Type="http://schemas.openxmlformats.org/officeDocument/2006/relationships/oleObject" Target="embeddings/oleObject11.bin"/><Relationship Id="rId25" Type="http://schemas.openxmlformats.org/officeDocument/2006/relationships/image" Target="media/image12.wmf"/><Relationship Id="rId24" Type="http://schemas.openxmlformats.org/officeDocument/2006/relationships/oleObject" Target="embeddings/oleObject10.bin"/><Relationship Id="rId23" Type="http://schemas.openxmlformats.org/officeDocument/2006/relationships/image" Target="media/image11.wmf"/><Relationship Id="rId22" Type="http://schemas.openxmlformats.org/officeDocument/2006/relationships/oleObject" Target="embeddings/oleObject9.bin"/><Relationship Id="rId21" Type="http://schemas.openxmlformats.org/officeDocument/2006/relationships/image" Target="media/image10.wmf"/><Relationship Id="rId20" Type="http://schemas.openxmlformats.org/officeDocument/2006/relationships/oleObject" Target="embeddings/oleObject8.bin"/><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7.bin"/><Relationship Id="rId17" Type="http://schemas.openxmlformats.org/officeDocument/2006/relationships/image" Target="media/image8.wmf"/><Relationship Id="rId16" Type="http://schemas.openxmlformats.org/officeDocument/2006/relationships/oleObject" Target="embeddings/oleObject6.bin"/><Relationship Id="rId15" Type="http://schemas.openxmlformats.org/officeDocument/2006/relationships/image" Target="media/image7.wmf"/><Relationship Id="rId14" Type="http://schemas.openxmlformats.org/officeDocument/2006/relationships/oleObject" Target="embeddings/oleObject5.bin"/><Relationship Id="rId13" Type="http://schemas.openxmlformats.org/officeDocument/2006/relationships/image" Target="media/image6.wmf"/><Relationship Id="rId12" Type="http://schemas.openxmlformats.org/officeDocument/2006/relationships/oleObject" Target="embeddings/oleObject4.bin"/><Relationship Id="rId11" Type="http://schemas.openxmlformats.org/officeDocument/2006/relationships/image" Target="media/image5.w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87B854-BFA4-4C2D-8600-B0646E8D4748}">
  <ds:schemaRefs/>
</ds:datastoreItem>
</file>

<file path=docProps/app.xml><?xml version="1.0" encoding="utf-8"?>
<Properties xmlns="http://schemas.openxmlformats.org/officeDocument/2006/extended-properties" xmlns:vt="http://schemas.openxmlformats.org/officeDocument/2006/docPropsVTypes">
  <Template>Normal</Template>
  <Pages>28</Pages>
  <Words>2540</Words>
  <Characters>16532</Characters>
  <Lines>1900</Lines>
  <Paragraphs>829</Paragraphs>
  <TotalTime>12</TotalTime>
  <ScaleCrop>false</ScaleCrop>
  <LinksUpToDate>false</LinksUpToDate>
  <CharactersWithSpaces>19005</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2025-12-10T02:51:00Z</dcterms:created>
  <dc:creator>诗棋 易</dc:creator>
  <cp:lastModifiedBy>Carl のZY</cp:lastModifiedBy>
  <cp:lastPrinted>2025-12-10T02:21:00Z</cp:lastPrinted>
  <dcterms:modified xsi:type="dcterms:W3CDTF">2026-08-05T17:58:39Z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TemplateDocerSaveRecord">
    <vt:lpwstr>eyJoZGlkIjoiMzJiNGRkMGYzYWE2NWI2OWE5NWE2NjVkNDgxZjU4YWQiLCJ1c2VySWQiOiI0NTU1OTA1NDcifQ==</vt:lpwstr>
  </property>
  <property fmtid="{D5CDD505-2E9C-101B-9397-08002B2CF9AE}" pid="4" name="KSOProductBuildVer">
    <vt:lpwstr>2052-12.1.0.28043</vt:lpwstr>
  </property>
  <property fmtid="{D5CDD505-2E9C-101B-9397-08002B2CF9AE}" pid="5" name="ICV">
    <vt:lpwstr>4B173A343B9744149B9E3432CBEF4471_12</vt:lpwstr>
  </property>
</Properties>
</file>